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49" w:rsidRDefault="007E3B49"/>
    <w:p w:rsidR="002F75A7" w:rsidRDefault="000372F9" w:rsidP="002F75A7">
      <w:pPr>
        <w:jc w:val="center"/>
        <w:rPr>
          <w:b/>
          <w:sz w:val="40"/>
          <w:szCs w:val="40"/>
        </w:rPr>
      </w:pPr>
      <w:r>
        <w:rPr>
          <w:b/>
          <w:sz w:val="40"/>
          <w:szCs w:val="40"/>
        </w:rPr>
        <w:t>Fest</w:t>
      </w:r>
      <w:r w:rsidR="001F39B9">
        <w:rPr>
          <w:b/>
          <w:sz w:val="40"/>
          <w:szCs w:val="40"/>
        </w:rPr>
        <w:t>i</w:t>
      </w:r>
      <w:r>
        <w:rPr>
          <w:b/>
          <w:sz w:val="40"/>
          <w:szCs w:val="40"/>
        </w:rPr>
        <w:t>valområder</w:t>
      </w:r>
      <w:bookmarkStart w:id="0" w:name="_GoBack"/>
      <w:bookmarkEnd w:id="0"/>
    </w:p>
    <w:p w:rsidR="004D28DB" w:rsidRPr="00626AB6" w:rsidRDefault="004D28DB" w:rsidP="004D28DB">
      <w:pPr>
        <w:jc w:val="center"/>
        <w:rPr>
          <w:b/>
          <w:sz w:val="32"/>
          <w:szCs w:val="32"/>
        </w:rPr>
      </w:pPr>
      <w:r>
        <w:rPr>
          <w:b/>
          <w:sz w:val="32"/>
          <w:szCs w:val="32"/>
        </w:rPr>
        <w:t xml:space="preserve">Uddrag af regler </w:t>
      </w:r>
      <w:r w:rsidRPr="00626AB6">
        <w:rPr>
          <w:b/>
          <w:sz w:val="32"/>
          <w:szCs w:val="32"/>
        </w:rPr>
        <w:t>i BR 15</w:t>
      </w:r>
    </w:p>
    <w:p w:rsidR="002F75A7" w:rsidRDefault="002F75A7" w:rsidP="002F75A7">
      <w:pPr>
        <w:jc w:val="center"/>
      </w:pPr>
    </w:p>
    <w:p w:rsidR="002F75A7" w:rsidRPr="002F75A7" w:rsidRDefault="002F75A7" w:rsidP="002F75A7">
      <w:pPr>
        <w:rPr>
          <w:b/>
          <w:sz w:val="28"/>
          <w:szCs w:val="28"/>
        </w:rPr>
      </w:pPr>
      <w:r>
        <w:rPr>
          <w:b/>
          <w:sz w:val="28"/>
          <w:szCs w:val="28"/>
        </w:rPr>
        <w:t xml:space="preserve">Kap. </w:t>
      </w:r>
      <w:r w:rsidRPr="002F75A7">
        <w:rPr>
          <w:b/>
          <w:sz w:val="28"/>
          <w:szCs w:val="28"/>
        </w:rPr>
        <w:t>1.3.6.2</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834"/>
        <w:gridCol w:w="4834"/>
      </w:tblGrid>
      <w:tr w:rsidR="002F75A7" w:rsidRPr="002F75A7" w:rsidTr="002F75A7">
        <w:trPr>
          <w:tblCellSpacing w:w="0" w:type="dxa"/>
        </w:trPr>
        <w:tc>
          <w:tcPr>
            <w:tcW w:w="2500" w:type="pct"/>
            <w:tcBorders>
              <w:bottom w:val="nil"/>
            </w:tcBorders>
            <w:hideMark/>
          </w:tcPr>
          <w:p w:rsidR="002F75A7" w:rsidRPr="002F75A7" w:rsidRDefault="002F75A7" w:rsidP="002F75A7">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2F75A7">
              <w:rPr>
                <w:rFonts w:ascii="Verdana" w:eastAsia="Times New Roman" w:hAnsi="Verdana" w:cs="Times New Roman"/>
                <w:b/>
                <w:bCs/>
                <w:color w:val="000000"/>
                <w:sz w:val="20"/>
                <w:szCs w:val="20"/>
                <w:lang w:eastAsia="da-DK"/>
              </w:rPr>
              <w:t>Stk. 1.</w:t>
            </w:r>
          </w:p>
          <w:p w:rsidR="002F75A7" w:rsidRPr="002F75A7" w:rsidRDefault="002F75A7" w:rsidP="002F75A7">
            <w:pPr>
              <w:shd w:val="clear" w:color="auto" w:fill="FFFFFF"/>
              <w:spacing w:after="0" w:line="240" w:lineRule="auto"/>
              <w:ind w:left="110"/>
              <w:rPr>
                <w:rFonts w:ascii="Verdana" w:eastAsia="Times New Roman" w:hAnsi="Verdana" w:cs="Times New Roman"/>
                <w:color w:val="333333"/>
                <w:sz w:val="19"/>
                <w:szCs w:val="19"/>
                <w:lang w:eastAsia="da-DK"/>
              </w:rPr>
            </w:pPr>
            <w:r w:rsidRPr="002F75A7">
              <w:rPr>
                <w:rFonts w:ascii="Verdana" w:eastAsia="Times New Roman" w:hAnsi="Verdana" w:cs="Times New Roman"/>
                <w:color w:val="333333"/>
                <w:sz w:val="19"/>
                <w:szCs w:val="19"/>
                <w:lang w:eastAsia="da-DK"/>
              </w:rPr>
              <w:t xml:space="preserve">Festival- og salgsområder med et samlet areal på indtil 1.000 m² skal placeres, indrettes og bruges i overensstemmelse med </w:t>
            </w:r>
            <w:r w:rsidRPr="002F75A7">
              <w:rPr>
                <w:rFonts w:ascii="Verdana" w:eastAsia="Times New Roman" w:hAnsi="Verdana" w:cs="Times New Roman"/>
                <w:b/>
                <w:color w:val="333333"/>
                <w:sz w:val="19"/>
                <w:szCs w:val="19"/>
                <w:lang w:eastAsia="da-DK"/>
              </w:rPr>
              <w:t>kapitel 5.7.</w:t>
            </w:r>
          </w:p>
        </w:tc>
        <w:tc>
          <w:tcPr>
            <w:tcW w:w="2500" w:type="pct"/>
            <w:tcBorders>
              <w:bottom w:val="nil"/>
            </w:tcBorders>
            <w:hideMark/>
          </w:tcPr>
          <w:p w:rsidR="002F75A7" w:rsidRPr="002F75A7" w:rsidRDefault="002F75A7" w:rsidP="002F75A7">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2F75A7">
              <w:rPr>
                <w:rFonts w:ascii="Verdana" w:eastAsia="Times New Roman" w:hAnsi="Verdana" w:cs="Times New Roman"/>
                <w:b/>
                <w:bCs/>
                <w:color w:val="000000"/>
                <w:sz w:val="20"/>
                <w:szCs w:val="20"/>
                <w:lang w:eastAsia="da-DK"/>
              </w:rPr>
              <w:t>(</w:t>
            </w:r>
            <w:r>
              <w:rPr>
                <w:rFonts w:ascii="Verdana" w:eastAsia="Times New Roman" w:hAnsi="Verdana" w:cs="Times New Roman"/>
                <w:b/>
                <w:bCs/>
                <w:color w:val="000000"/>
                <w:sz w:val="20"/>
                <w:szCs w:val="20"/>
                <w:lang w:eastAsia="da-DK"/>
              </w:rPr>
              <w:t xml:space="preserve">Vejledning til </w:t>
            </w:r>
            <w:r w:rsidRPr="002F75A7">
              <w:rPr>
                <w:rFonts w:ascii="Verdana" w:eastAsia="Times New Roman" w:hAnsi="Verdana" w:cs="Times New Roman"/>
                <w:b/>
                <w:bCs/>
                <w:color w:val="000000"/>
                <w:sz w:val="20"/>
                <w:szCs w:val="20"/>
                <w:lang w:eastAsia="da-DK"/>
              </w:rPr>
              <w:t>1.3.6.2, stk. 1)</w:t>
            </w:r>
          </w:p>
          <w:p w:rsidR="002F75A7" w:rsidRPr="002F75A7" w:rsidRDefault="002F75A7" w:rsidP="002F75A7">
            <w:pPr>
              <w:shd w:val="clear" w:color="auto" w:fill="FFFFFF"/>
              <w:spacing w:after="0" w:line="240" w:lineRule="auto"/>
              <w:rPr>
                <w:rFonts w:ascii="Verdana" w:eastAsia="Times New Roman" w:hAnsi="Verdana" w:cs="Times New Roman"/>
                <w:color w:val="333333"/>
                <w:sz w:val="19"/>
                <w:szCs w:val="19"/>
                <w:lang w:eastAsia="da-DK"/>
              </w:rPr>
            </w:pPr>
            <w:r w:rsidRPr="002F75A7">
              <w:rPr>
                <w:rFonts w:ascii="Verdana" w:eastAsia="Times New Roman" w:hAnsi="Verdana" w:cs="Times New Roman"/>
                <w:color w:val="333333"/>
                <w:sz w:val="19"/>
                <w:szCs w:val="19"/>
                <w:lang w:eastAsia="da-DK"/>
              </w:rPr>
              <w:t>Bestemmelsen er gældende for festival- og salgsområder på musikfestivaler, markeder, dyrskuer og lign., hvor der er opstillet transportable konstruktioner. Transportable konstruktioner opstillet i festival- og salgsområder skal uanset denne bestemmelse leve op til de krav, der følger af kapitel 1.3.5.1.</w:t>
            </w:r>
          </w:p>
        </w:tc>
      </w:tr>
      <w:tr w:rsidR="002F75A7" w:rsidRPr="002F75A7" w:rsidTr="002F75A7">
        <w:trPr>
          <w:tblCellSpacing w:w="0" w:type="dxa"/>
        </w:trPr>
        <w:tc>
          <w:tcPr>
            <w:tcW w:w="2500" w:type="pct"/>
            <w:tcBorders>
              <w:bottom w:val="nil"/>
            </w:tcBorders>
            <w:hideMark/>
          </w:tcPr>
          <w:p w:rsidR="002F75A7" w:rsidRDefault="002F75A7" w:rsidP="002F75A7">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bookmarkStart w:id="1" w:name="stk2"/>
            <w:bookmarkEnd w:id="1"/>
          </w:p>
          <w:p w:rsidR="002F75A7" w:rsidRPr="002F75A7" w:rsidRDefault="002F75A7" w:rsidP="002F75A7">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2F75A7">
              <w:rPr>
                <w:rFonts w:ascii="Verdana" w:eastAsia="Times New Roman" w:hAnsi="Verdana" w:cs="Times New Roman"/>
                <w:b/>
                <w:bCs/>
                <w:color w:val="000000"/>
                <w:sz w:val="20"/>
                <w:szCs w:val="20"/>
                <w:lang w:eastAsia="da-DK"/>
              </w:rPr>
              <w:t xml:space="preserve">Stk. 2. </w:t>
            </w:r>
          </w:p>
          <w:p w:rsidR="002F75A7" w:rsidRPr="002F75A7" w:rsidRDefault="002F75A7" w:rsidP="002F75A7">
            <w:pPr>
              <w:shd w:val="clear" w:color="auto" w:fill="FFFFFF"/>
              <w:spacing w:after="0" w:line="240" w:lineRule="auto"/>
              <w:rPr>
                <w:rFonts w:ascii="Verdana" w:eastAsia="Times New Roman" w:hAnsi="Verdana" w:cs="Times New Roman"/>
                <w:color w:val="333333"/>
                <w:sz w:val="19"/>
                <w:szCs w:val="19"/>
                <w:lang w:eastAsia="da-DK"/>
              </w:rPr>
            </w:pPr>
            <w:r w:rsidRPr="002F75A7">
              <w:rPr>
                <w:rFonts w:ascii="Verdana" w:eastAsia="Times New Roman" w:hAnsi="Verdana" w:cs="Times New Roman"/>
                <w:color w:val="333333"/>
                <w:sz w:val="19"/>
                <w:szCs w:val="19"/>
                <w:lang w:eastAsia="da-DK"/>
              </w:rPr>
              <w:t xml:space="preserve">Festival- og salgsområder med et samlet areal på over 1.000 m² skal have en godkendelse af kommunalbestyrelsen og skal placeres, indrettes og bruges i overensstemmelse med </w:t>
            </w:r>
            <w:r w:rsidRPr="002F75A7">
              <w:rPr>
                <w:rFonts w:ascii="Verdana" w:eastAsia="Times New Roman" w:hAnsi="Verdana" w:cs="Times New Roman"/>
                <w:b/>
                <w:color w:val="333333"/>
                <w:sz w:val="19"/>
                <w:szCs w:val="19"/>
                <w:lang w:eastAsia="da-DK"/>
              </w:rPr>
              <w:t>kapitel 5.7.</w:t>
            </w:r>
          </w:p>
        </w:tc>
        <w:tc>
          <w:tcPr>
            <w:tcW w:w="2500" w:type="pct"/>
            <w:tcBorders>
              <w:bottom w:val="nil"/>
            </w:tcBorders>
            <w:hideMark/>
          </w:tcPr>
          <w:p w:rsidR="002F75A7" w:rsidRDefault="002F75A7" w:rsidP="002F75A7">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p>
          <w:p w:rsidR="002F75A7" w:rsidRPr="002F75A7" w:rsidRDefault="002F75A7" w:rsidP="002F75A7">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2F75A7">
              <w:rPr>
                <w:rFonts w:ascii="Verdana" w:eastAsia="Times New Roman" w:hAnsi="Verdana" w:cs="Times New Roman"/>
                <w:b/>
                <w:bCs/>
                <w:color w:val="000000"/>
                <w:sz w:val="20"/>
                <w:szCs w:val="20"/>
                <w:lang w:eastAsia="da-DK"/>
              </w:rPr>
              <w:t>(</w:t>
            </w:r>
            <w:r>
              <w:rPr>
                <w:rFonts w:ascii="Verdana" w:eastAsia="Times New Roman" w:hAnsi="Verdana" w:cs="Times New Roman"/>
                <w:b/>
                <w:bCs/>
                <w:color w:val="000000"/>
                <w:sz w:val="20"/>
                <w:szCs w:val="20"/>
                <w:lang w:eastAsia="da-DK"/>
              </w:rPr>
              <w:t xml:space="preserve">Vejledning til </w:t>
            </w:r>
            <w:r w:rsidRPr="002F75A7">
              <w:rPr>
                <w:rFonts w:ascii="Verdana" w:eastAsia="Times New Roman" w:hAnsi="Verdana" w:cs="Times New Roman"/>
                <w:b/>
                <w:bCs/>
                <w:color w:val="000000"/>
                <w:sz w:val="20"/>
                <w:szCs w:val="20"/>
                <w:lang w:eastAsia="da-DK"/>
              </w:rPr>
              <w:t>1.3.6.2, stk. 2)</w:t>
            </w:r>
          </w:p>
          <w:p w:rsidR="002F75A7" w:rsidRPr="002F75A7" w:rsidRDefault="002F75A7" w:rsidP="002F75A7">
            <w:pPr>
              <w:shd w:val="clear" w:color="auto" w:fill="FFFFFF"/>
              <w:spacing w:after="0" w:line="240" w:lineRule="auto"/>
              <w:rPr>
                <w:rFonts w:ascii="Verdana" w:eastAsia="Times New Roman" w:hAnsi="Verdana" w:cs="Times New Roman"/>
                <w:color w:val="333333"/>
                <w:sz w:val="19"/>
                <w:szCs w:val="19"/>
                <w:lang w:eastAsia="da-DK"/>
              </w:rPr>
            </w:pPr>
            <w:r w:rsidRPr="002F75A7">
              <w:rPr>
                <w:rFonts w:ascii="Verdana" w:eastAsia="Times New Roman" w:hAnsi="Verdana" w:cs="Times New Roman"/>
                <w:color w:val="333333"/>
                <w:sz w:val="19"/>
                <w:szCs w:val="19"/>
                <w:lang w:eastAsia="da-DK"/>
              </w:rPr>
              <w:t xml:space="preserve">Bestemmelsen er gældende for festival- og salgsområder på musikfestivaler, markeder, dyrskuer og lign. </w:t>
            </w:r>
            <w:r w:rsidRPr="002F75A7">
              <w:rPr>
                <w:rFonts w:ascii="Verdana" w:eastAsia="Times New Roman" w:hAnsi="Verdana" w:cs="Times New Roman"/>
                <w:sz w:val="19"/>
                <w:szCs w:val="19"/>
                <w:lang w:eastAsia="da-DK"/>
              </w:rPr>
              <w:t>hvor der er opstillet transportable konstruktioner. Transportable konstruktioner opstillet i festival</w:t>
            </w:r>
            <w:r w:rsidRPr="002F75A7">
              <w:rPr>
                <w:rFonts w:ascii="Verdana" w:eastAsia="Times New Roman" w:hAnsi="Verdana" w:cs="Times New Roman"/>
                <w:color w:val="333333"/>
                <w:sz w:val="19"/>
                <w:szCs w:val="19"/>
                <w:lang w:eastAsia="da-DK"/>
              </w:rPr>
              <w:t>- og salgsområder skal uanset denne bestemmelse leve op til de krav, der følger af kapitel 1.3.5.1.</w:t>
            </w:r>
          </w:p>
          <w:p w:rsidR="002F75A7" w:rsidRPr="002F75A7" w:rsidRDefault="002F75A7" w:rsidP="002F75A7">
            <w:pPr>
              <w:shd w:val="clear" w:color="auto" w:fill="FFFFFF"/>
              <w:spacing w:after="0" w:line="240" w:lineRule="auto"/>
              <w:rPr>
                <w:rFonts w:ascii="Verdana" w:eastAsia="Times New Roman" w:hAnsi="Verdana" w:cs="Times New Roman"/>
                <w:color w:val="333333"/>
                <w:sz w:val="19"/>
                <w:szCs w:val="19"/>
                <w:lang w:eastAsia="da-DK"/>
              </w:rPr>
            </w:pPr>
            <w:r w:rsidRPr="002F75A7">
              <w:rPr>
                <w:rFonts w:ascii="Verdana" w:eastAsia="Times New Roman" w:hAnsi="Verdana" w:cs="Times New Roman"/>
                <w:color w:val="333333"/>
                <w:sz w:val="19"/>
                <w:szCs w:val="19"/>
                <w:lang w:eastAsia="da-DK"/>
              </w:rPr>
              <w:t>Kravet om indhentelse af godkendelse ved kommunalbestyrelsen gælder både for områder med transportable konstruktioner, der er certificeret og konstruktioner, hvortil der søges byggetilladelse. Kravet om godkendelse udløser dog ikke krav om byggetilladelse for certificerede konstruktioner.</w:t>
            </w:r>
          </w:p>
        </w:tc>
      </w:tr>
    </w:tbl>
    <w:p w:rsidR="002F75A7" w:rsidRDefault="002F75A7" w:rsidP="002F75A7"/>
    <w:p w:rsidR="002F75A7" w:rsidRPr="002F75A7" w:rsidRDefault="002F75A7" w:rsidP="002F75A7">
      <w:pPr>
        <w:rPr>
          <w:b/>
          <w:sz w:val="28"/>
          <w:szCs w:val="28"/>
        </w:rPr>
      </w:pPr>
      <w:r w:rsidRPr="002F75A7">
        <w:rPr>
          <w:b/>
          <w:sz w:val="28"/>
          <w:szCs w:val="28"/>
        </w:rPr>
        <w:t>Kap. 5.7</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834"/>
        <w:gridCol w:w="4834"/>
      </w:tblGrid>
      <w:tr w:rsidR="002F75A7" w:rsidRPr="002F75A7" w:rsidTr="002F75A7">
        <w:trPr>
          <w:tblCellSpacing w:w="0" w:type="dxa"/>
        </w:trPr>
        <w:tc>
          <w:tcPr>
            <w:tcW w:w="2500" w:type="pct"/>
            <w:tcBorders>
              <w:bottom w:val="nil"/>
            </w:tcBorders>
            <w:hideMark/>
          </w:tcPr>
          <w:p w:rsidR="002F75A7" w:rsidRPr="002F75A7" w:rsidRDefault="002F75A7" w:rsidP="002F75A7">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2F75A7">
              <w:rPr>
                <w:rFonts w:ascii="Verdana" w:eastAsia="Times New Roman" w:hAnsi="Verdana" w:cs="Times New Roman"/>
                <w:b/>
                <w:bCs/>
                <w:color w:val="000000"/>
                <w:sz w:val="20"/>
                <w:szCs w:val="20"/>
                <w:lang w:eastAsia="da-DK"/>
              </w:rPr>
              <w:t xml:space="preserve">Stk. 1 </w:t>
            </w:r>
          </w:p>
          <w:p w:rsidR="002F75A7" w:rsidRPr="002F75A7" w:rsidRDefault="002F75A7" w:rsidP="002F75A7">
            <w:pPr>
              <w:shd w:val="clear" w:color="auto" w:fill="FFFFFF"/>
              <w:spacing w:after="0" w:line="240" w:lineRule="auto"/>
              <w:rPr>
                <w:rFonts w:ascii="Verdana" w:eastAsia="Times New Roman" w:hAnsi="Verdana" w:cs="Times New Roman"/>
                <w:color w:val="333333"/>
                <w:sz w:val="19"/>
                <w:szCs w:val="19"/>
                <w:lang w:eastAsia="da-DK"/>
              </w:rPr>
            </w:pPr>
            <w:r w:rsidRPr="002F75A7">
              <w:rPr>
                <w:rFonts w:ascii="Verdana" w:eastAsia="Times New Roman" w:hAnsi="Verdana" w:cs="Times New Roman"/>
                <w:color w:val="333333"/>
                <w:sz w:val="19"/>
                <w:szCs w:val="19"/>
                <w:lang w:eastAsia="da-DK"/>
              </w:rPr>
              <w:t>Festival-, salgsområder og campingområder skal placeres, indrettes og bruges på en sådan måde, at en brand kan begrænses til det område, hvor branden er opstået. Spredning af brand og røg til andre områder, skal forhindres i den tid, som er nødvendig for evakuering og redningsberedskabets indsats.</w:t>
            </w:r>
          </w:p>
        </w:tc>
        <w:tc>
          <w:tcPr>
            <w:tcW w:w="2500" w:type="pct"/>
            <w:tcBorders>
              <w:bottom w:val="nil"/>
            </w:tcBorders>
            <w:hideMark/>
          </w:tcPr>
          <w:p w:rsidR="002F75A7" w:rsidRPr="002F75A7" w:rsidRDefault="002F75A7" w:rsidP="002F75A7">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2F75A7">
              <w:rPr>
                <w:rFonts w:ascii="Verdana" w:eastAsia="Times New Roman" w:hAnsi="Verdana" w:cs="Times New Roman"/>
                <w:b/>
                <w:bCs/>
                <w:color w:val="000000"/>
                <w:sz w:val="20"/>
                <w:szCs w:val="20"/>
                <w:lang w:eastAsia="da-DK"/>
              </w:rPr>
              <w:t>(5.7, stk. 1)</w:t>
            </w:r>
          </w:p>
          <w:p w:rsidR="002F75A7" w:rsidRPr="002F75A7" w:rsidRDefault="002F75A7" w:rsidP="002F75A7">
            <w:pPr>
              <w:shd w:val="clear" w:color="auto" w:fill="FFFFFF"/>
              <w:spacing w:after="0" w:line="240" w:lineRule="auto"/>
              <w:ind w:left="110"/>
              <w:rPr>
                <w:rFonts w:ascii="Verdana" w:eastAsia="Times New Roman" w:hAnsi="Verdana" w:cs="Times New Roman"/>
                <w:color w:val="333333"/>
                <w:sz w:val="19"/>
                <w:szCs w:val="19"/>
                <w:lang w:eastAsia="da-DK"/>
              </w:rPr>
            </w:pPr>
            <w:r w:rsidRPr="002F75A7">
              <w:rPr>
                <w:rFonts w:ascii="Verdana" w:eastAsia="Times New Roman" w:hAnsi="Verdana" w:cs="Times New Roman"/>
                <w:color w:val="333333"/>
                <w:sz w:val="19"/>
                <w:szCs w:val="19"/>
                <w:lang w:eastAsia="da-DK"/>
              </w:rPr>
              <w:t xml:space="preserve">Der henvises til </w:t>
            </w:r>
            <w:r w:rsidRPr="002F75A7">
              <w:rPr>
                <w:rFonts w:ascii="Verdana" w:eastAsia="Times New Roman" w:hAnsi="Verdana" w:cs="Times New Roman"/>
                <w:b/>
                <w:color w:val="333333"/>
                <w:sz w:val="19"/>
                <w:szCs w:val="19"/>
                <w:lang w:eastAsia="da-DK"/>
              </w:rPr>
              <w:t>vejledningen om certificeringsordning og byggesagsbehandling af transportable telte og konstruktioner</w:t>
            </w:r>
            <w:r w:rsidRPr="002F75A7">
              <w:rPr>
                <w:rFonts w:ascii="Verdana" w:eastAsia="Times New Roman" w:hAnsi="Verdana" w:cs="Times New Roman"/>
                <w:color w:val="333333"/>
                <w:sz w:val="19"/>
                <w:szCs w:val="19"/>
                <w:lang w:eastAsia="da-DK"/>
              </w:rPr>
              <w:t>, der indeholder eksempler på overholdelse af kravene.</w:t>
            </w:r>
          </w:p>
        </w:tc>
      </w:tr>
    </w:tbl>
    <w:p w:rsidR="002F75A7" w:rsidRDefault="002F75A7" w:rsidP="002F75A7"/>
    <w:p w:rsidR="004D28DB" w:rsidRDefault="004D28DB">
      <w:pPr>
        <w:rPr>
          <w:b/>
          <w:sz w:val="32"/>
          <w:szCs w:val="32"/>
        </w:rPr>
      </w:pPr>
      <w:r>
        <w:rPr>
          <w:b/>
          <w:sz w:val="32"/>
          <w:szCs w:val="32"/>
        </w:rPr>
        <w:br w:type="page"/>
      </w:r>
    </w:p>
    <w:p w:rsidR="004D28DB" w:rsidRDefault="004D28DB" w:rsidP="004D28DB">
      <w:pPr>
        <w:jc w:val="center"/>
        <w:rPr>
          <w:b/>
          <w:sz w:val="32"/>
          <w:szCs w:val="32"/>
        </w:rPr>
      </w:pPr>
      <w:r>
        <w:rPr>
          <w:b/>
          <w:sz w:val="32"/>
          <w:szCs w:val="32"/>
        </w:rPr>
        <w:lastRenderedPageBreak/>
        <w:t>UDDRAG FRA:</w:t>
      </w:r>
    </w:p>
    <w:p w:rsidR="001F055D" w:rsidRPr="00626AB6" w:rsidRDefault="001F055D" w:rsidP="001F055D">
      <w:pPr>
        <w:jc w:val="center"/>
        <w:rPr>
          <w:b/>
          <w:sz w:val="32"/>
          <w:szCs w:val="32"/>
        </w:rPr>
      </w:pPr>
      <w:r w:rsidRPr="00626AB6">
        <w:rPr>
          <w:b/>
          <w:sz w:val="32"/>
          <w:szCs w:val="32"/>
        </w:rPr>
        <w:t>Regler i vejledning om opstilling af transportable telte og konstruktioner, herunder tribuner, scener, messestande, portaler, tårne m.m. og indretning af salgsarealer og midlertidige campingpladser</w:t>
      </w:r>
    </w:p>
    <w:p w:rsidR="00A91883" w:rsidRPr="00A91883" w:rsidRDefault="00A91883" w:rsidP="00A91883">
      <w:pPr>
        <w:jc w:val="center"/>
        <w:rPr>
          <w:b/>
        </w:rPr>
      </w:pPr>
      <w:r w:rsidRPr="00A91883">
        <w:rPr>
          <w:b/>
        </w:rPr>
        <w:t>Tidl. Vejledning om certificeringsordning og byggesagsbehandling af transportable telte og konstruktioner</w:t>
      </w:r>
    </w:p>
    <w:p w:rsidR="00A91883" w:rsidRDefault="00A91883" w:rsidP="00A91883">
      <w:pPr>
        <w:rPr>
          <w:b/>
          <w:bCs/>
        </w:rPr>
      </w:pPr>
    </w:p>
    <w:p w:rsidR="00A91883" w:rsidRPr="00A91883" w:rsidRDefault="00A91883" w:rsidP="00A91883">
      <w:r w:rsidRPr="00A91883">
        <w:rPr>
          <w:b/>
          <w:bCs/>
        </w:rPr>
        <w:t xml:space="preserve">8. Driftsmæssige foranstaltninger i forsamlingstelte og festival-, salgs- og campingområder </w:t>
      </w:r>
    </w:p>
    <w:p w:rsidR="00A91883" w:rsidRPr="00A91883" w:rsidRDefault="00A91883" w:rsidP="00A91883">
      <w:r w:rsidRPr="00A91883">
        <w:t xml:space="preserve">Reglerne om brandværnsforanstaltninger for forsamlingstelte og for festival-, salgs- og campingområder blev med ændring af byggeloven flyttet fra beredskabslovgivningen til byggeloven. De driftsmæssige krav til forsamlingstelte, festival-, salgs og campingområder reguleres derfor nu i kraft af byggeloven i BR15, kap. 1.3.5 og 1.3.6 samt ved funktionskrav i kapitel 5.1, stk. 4, og kap. 5.7. </w:t>
      </w:r>
    </w:p>
    <w:p w:rsidR="002F75A7" w:rsidRDefault="00A91883" w:rsidP="00A91883">
      <w:r w:rsidRPr="00A91883">
        <w:t>Ændringen indebærer, at administration af de driftsmæssige krav til forsamlingstelte, festival-, salgs- og campingområder fremadrettet er omfattet af bygningsmyndighedens myndighedsopgave. Når transportable konstruktioner, festival-, salgs- eller campingområder anvendes af mere end 150 personer, eller er over en vis størrelse, udløser det krav om anmeldelse til eller godkendelse af kommunalbestyrelsen.</w:t>
      </w:r>
    </w:p>
    <w:p w:rsidR="000028BA" w:rsidRPr="000028BA" w:rsidRDefault="000028BA" w:rsidP="000028BA">
      <w:pPr>
        <w:rPr>
          <w:b/>
        </w:rPr>
      </w:pPr>
      <w:r w:rsidRPr="000028BA">
        <w:rPr>
          <w:b/>
        </w:rPr>
        <w:t>8.2 Camp</w:t>
      </w:r>
      <w:r>
        <w:rPr>
          <w:b/>
        </w:rPr>
        <w:t>ing-, festival- og salgsområder</w:t>
      </w:r>
    </w:p>
    <w:p w:rsidR="000028BA" w:rsidRDefault="000028BA" w:rsidP="000028BA">
      <w:r>
        <w:t xml:space="preserve">Camping-, festival- og salgsområder skal placeres, indrettes og bruges i overensstemmelse med det BR15, kap. 5.7. Festival-, salgsområder og campingområder skal således placeres, indrettes og bruges på en sådan måde, at en brand kan begrænses til det område, hvor branden er opstået. Spredning af brand og røg til andre områder, skal forhindres i den tid, som er nødvendig for evakuering og redningsberedskabets indsats. Bestemmelsen i kap. 5.7 er et funktionskrav. I afsnit XX </w:t>
      </w:r>
      <w:r>
        <w:rPr>
          <w:color w:val="00B0F0"/>
        </w:rPr>
        <w:t>(??)</w:t>
      </w:r>
      <w:r>
        <w:t xml:space="preserve"> i denne følger eksempler på overholdelse af funktionskravet.</w:t>
      </w:r>
    </w:p>
    <w:p w:rsidR="000028BA" w:rsidRDefault="000028BA" w:rsidP="000028BA">
      <w:r>
        <w:t>Såfremt der er tale om et kombineret camping-, festival- eller salgsområde, er det det samlede områdes areal, der er afgørende for, om der er krav om anmeldelse eller godkendelse efter bygningsreglementet. Hvis der er et kombineret camping- og salgsområde, vil der således være krav om kommunalbestyrelsens godkendelse, hvis det samlede areal er mere end 1.000 m².</w:t>
      </w:r>
    </w:p>
    <w:p w:rsidR="000028BA" w:rsidRPr="000028BA" w:rsidRDefault="000028BA" w:rsidP="000028BA">
      <w:pPr>
        <w:rPr>
          <w:b/>
        </w:rPr>
      </w:pPr>
      <w:r w:rsidRPr="000028BA">
        <w:rPr>
          <w:b/>
        </w:rPr>
        <w:t>8.2.2 Festival- og salgsområder</w:t>
      </w:r>
    </w:p>
    <w:p w:rsidR="000028BA" w:rsidRDefault="000028BA" w:rsidP="000028BA">
      <w:r>
        <w:t>Festival- og salgsområder med et samlet areal på indtil 1.000 m² skal placeres, indrettes og bruges i overensstemmelse med kapitel 5.7, jf. kap. 1.3.6.2, stk. 2.</w:t>
      </w:r>
    </w:p>
    <w:p w:rsidR="000028BA" w:rsidRDefault="000028BA" w:rsidP="000028BA">
      <w:r>
        <w:t>Festival- og salgsområder med et samlet areal på over 1.000 m² skal godkendes af kommunalbestyrelsen og skal placeres, indrettes og bruges i overensstemmelse med bygningsreglementets kapitel 5.7, jf. kap. 1.3.6.2, stk. 2.</w:t>
      </w:r>
    </w:p>
    <w:p w:rsidR="000028BA" w:rsidRDefault="000028BA" w:rsidP="000028BA">
      <w:r>
        <w:t>Uanset reglerne om anmeldelse og godkendelse af festival- og salgsområder i kap. 1.3.6.2, skal de transportable konstruktioner, der opstilles i et festival- eller salgsområde, altid leve op til de krav, der følger af kap. 1.3.5.1 om byggesagsbehandling eller certificering af konstruktionerne.</w:t>
      </w:r>
    </w:p>
    <w:p w:rsidR="000028BA" w:rsidRDefault="000028BA" w:rsidP="000028BA">
      <w:r>
        <w:lastRenderedPageBreak/>
        <w:t>Kravet om godkendelse fra kommunalbestyrelsen gælder både for områder med transportable konstruktioner, der er certificeret og konstruktioner, hvortil der søges byggetilladelse. Kravet om godkendelse udløser dog ikke krav om byggetilladelse for certificerede konstruktioner.</w:t>
      </w:r>
    </w:p>
    <w:p w:rsidR="000028BA" w:rsidRPr="000028BA" w:rsidRDefault="000028BA" w:rsidP="000028BA">
      <w:pPr>
        <w:rPr>
          <w:b/>
        </w:rPr>
      </w:pPr>
      <w:r w:rsidRPr="000028BA">
        <w:rPr>
          <w:b/>
        </w:rPr>
        <w:t>8.3 Brandsyn</w:t>
      </w:r>
    </w:p>
    <w:p w:rsidR="000028BA" w:rsidRDefault="000028BA" w:rsidP="000028BA">
      <w:r>
        <w:t>Der skal fortsat foretages brandsyn efter bekendtgørelse om brandsyn og offentliggørelse af resultater af brandsyn i forsamlingslokaler.</w:t>
      </w:r>
    </w:p>
    <w:p w:rsidR="000028BA" w:rsidRDefault="000028BA" w:rsidP="000028BA">
      <w:r>
        <w:t>Du skal også være opmærksom på, at ved afholdelse af koncert, festival eller en anden event, skal begivenheden anmeldes til politiet efter reglerne i bekendtgørelse om offentlige forlystelser.</w:t>
      </w:r>
    </w:p>
    <w:p w:rsidR="00A91883" w:rsidRDefault="00A91883" w:rsidP="000028BA">
      <w:pPr>
        <w:rPr>
          <w:b/>
          <w:sz w:val="28"/>
          <w:szCs w:val="28"/>
        </w:rPr>
      </w:pPr>
    </w:p>
    <w:p w:rsidR="00A91883" w:rsidRDefault="00A91883" w:rsidP="000028BA">
      <w:pPr>
        <w:rPr>
          <w:b/>
          <w:sz w:val="28"/>
          <w:szCs w:val="28"/>
        </w:rPr>
      </w:pPr>
    </w:p>
    <w:p w:rsidR="00A041A4" w:rsidRDefault="00A041A4" w:rsidP="000028BA">
      <w:pPr>
        <w:rPr>
          <w:b/>
          <w:sz w:val="28"/>
          <w:szCs w:val="28"/>
        </w:rPr>
      </w:pPr>
      <w:r w:rsidRPr="00520BB5">
        <w:rPr>
          <w:b/>
          <w:sz w:val="28"/>
          <w:szCs w:val="28"/>
        </w:rPr>
        <w:t xml:space="preserve">Del 2  </w:t>
      </w:r>
    </w:p>
    <w:p w:rsidR="00A91883" w:rsidRPr="00A91883" w:rsidRDefault="00A91883" w:rsidP="00A91883">
      <w:pPr>
        <w:rPr>
          <w:sz w:val="28"/>
          <w:szCs w:val="28"/>
        </w:rPr>
      </w:pPr>
      <w:r w:rsidRPr="00A91883">
        <w:rPr>
          <w:b/>
          <w:bCs/>
          <w:sz w:val="28"/>
          <w:szCs w:val="28"/>
        </w:rPr>
        <w:t xml:space="preserve">4 Brandforhold </w:t>
      </w:r>
    </w:p>
    <w:p w:rsidR="00A91883" w:rsidRPr="00A91883" w:rsidRDefault="00A91883" w:rsidP="00A91883">
      <w:pPr>
        <w:rPr>
          <w:sz w:val="28"/>
          <w:szCs w:val="28"/>
        </w:rPr>
      </w:pPr>
      <w:r w:rsidRPr="00A91883">
        <w:rPr>
          <w:b/>
          <w:bCs/>
          <w:sz w:val="28"/>
          <w:szCs w:val="28"/>
        </w:rPr>
        <w:t xml:space="preserve">4.1 Indledning </w:t>
      </w:r>
    </w:p>
    <w:p w:rsidR="00A91883" w:rsidRPr="00A91883" w:rsidRDefault="00A91883" w:rsidP="00A91883">
      <w:r w:rsidRPr="00A91883">
        <w:t xml:space="preserve">Byggelovens brandbestemmelser tager udgangspunkt i personsikkerhed. Bestemmelserne skal sikre mulighed for evakuering af personer, hvilket også afspejles i bestemmelserne i BR15, kapitel 5, som vedrører brandforhold. </w:t>
      </w:r>
    </w:p>
    <w:p w:rsidR="00A91883" w:rsidRPr="00A91883" w:rsidRDefault="00A91883" w:rsidP="00A91883">
      <w:r w:rsidRPr="00A91883">
        <w:t xml:space="preserve">Bestemmelserne i BR15, kapitel 5, er funktionsbaserede brandkrav, der beskriver det sikkerhedsniveau, som i tilfælde af brand skal opnås. Dermed beskriver kravene intentionerne, men ikke hvordan kravene kan opfyldes. </w:t>
      </w:r>
    </w:p>
    <w:p w:rsidR="00A91883" w:rsidRPr="00A91883" w:rsidRDefault="00A91883" w:rsidP="00A91883">
      <w:r w:rsidRPr="00A91883">
        <w:t xml:space="preserve">Dette afsnit beskriver de relevante brandkrav for en række transportable konstruktioner, samt eksempler på hvorledes kravene kan opfyldes. Eksemplerne i denne vejledning er kun eksempler, og dokumentation af, at kravene opfyldes, kan til enhver tid foretages på anden vis. Dette kan fx ske ved brug af eksemplerne i </w:t>
      </w:r>
      <w:r w:rsidRPr="00A91883">
        <w:rPr>
          <w:i/>
          <w:iCs/>
        </w:rPr>
        <w:t>Eksempelsamling om brandsikring af byggeri, 2012, 2. udgave 2016</w:t>
      </w:r>
      <w:r w:rsidRPr="00A91883">
        <w:t xml:space="preserve">, en brandteknisk dimensionering baseret på de konkrete forhold, en brandprøvning, en konkret vurdering i det enkelte tilfælde baseret på erfaringer mv. </w:t>
      </w:r>
    </w:p>
    <w:p w:rsidR="00A91883" w:rsidRPr="00A91883" w:rsidRDefault="00A91883" w:rsidP="00A91883">
      <w:r w:rsidRPr="00A91883">
        <w:t xml:space="preserve">I det efterfølgende behandles de forskellige typer af transportable konstruktioner enkeltvis. Ved kombination af forskellige typer transportable konstruktioner kan der forekomme supplerende forhold, som må behandles individuelt, med mindre kombinationen direkte er behandlet i denne vejledning. </w:t>
      </w:r>
    </w:p>
    <w:p w:rsidR="00A91883" w:rsidRPr="00A91883" w:rsidRDefault="00A91883" w:rsidP="00A91883">
      <w:r w:rsidRPr="00A91883">
        <w:t xml:space="preserve">Der er supplerende forhold relateret til driften, som ligeledes skal håndteres, inden konstruktionen kan anvendes. Disse krav fremgår af BR15, kap. 5.1, stk. 4. </w:t>
      </w:r>
    </w:p>
    <w:p w:rsidR="00A91883" w:rsidRPr="00A91883" w:rsidRDefault="00A91883" w:rsidP="00A91883">
      <w:r w:rsidRPr="00A91883">
        <w:t xml:space="preserve">Desuden vil forsamlingstelte, selskabshuse, salgsområder og campingområder, der ikke er omfattet af campingreglementet være omfattet af beredskabsstyrelsens bekendtgørelse om brandsyn og offentliggørelse af resultater af brandsyn foretaget i forsamlingslokaler. </w:t>
      </w:r>
    </w:p>
    <w:p w:rsidR="000372F9" w:rsidRPr="000372F9" w:rsidRDefault="000372F9" w:rsidP="000372F9">
      <w:pPr>
        <w:rPr>
          <w:b/>
          <w:sz w:val="28"/>
          <w:szCs w:val="28"/>
        </w:rPr>
      </w:pPr>
      <w:r w:rsidRPr="000372F9">
        <w:rPr>
          <w:b/>
          <w:sz w:val="28"/>
          <w:szCs w:val="28"/>
        </w:rPr>
        <w:t>4.7 Festivalområder</w:t>
      </w:r>
    </w:p>
    <w:p w:rsidR="000372F9" w:rsidRPr="000372F9" w:rsidRDefault="000372F9" w:rsidP="000372F9">
      <w:r w:rsidRPr="000372F9">
        <w:t>Scener skal opstilles på en sådan måde, at de ikke hindrer publikums adgang til flugtvejene.</w:t>
      </w:r>
    </w:p>
    <w:p w:rsidR="000372F9" w:rsidRPr="000372F9" w:rsidRDefault="000372F9" w:rsidP="000372F9">
      <w:r w:rsidRPr="000372F9">
        <w:lastRenderedPageBreak/>
        <w:t>For udstyr, der anvendes i tilknytning til indendørs opstillede scener, som f.eks. fortæpper, mellemtæpper, bagtæpper, kulisser, sætstykker og dekorationer, gælder der særlige krav til materialernes brandmæssige egenskaber. Såfremt der anvendes materialer, der let kan antændes, såsom bomuld, papir eller hessian, bør disse brandimprægneres</w:t>
      </w:r>
      <w:r>
        <w:t>.</w:t>
      </w:r>
    </w:p>
    <w:p w:rsidR="000372F9" w:rsidRPr="000372F9" w:rsidRDefault="000372F9" w:rsidP="000372F9">
      <w:r w:rsidRPr="000372F9">
        <w:t>Bagområderne, der typisk anvendes af personale og kunstnere, bør være adskilt fra publikum. Indretningen af sådanne områder vil være meget forskelligartet, idet anvendelse af telte, vogne, lastvogne m.v. indgår heri. Dette betyder, at flugtvejsforholdene kan være vanskelige at overskue. Områderne anvendes af personer, der som oftest ikke er stedkendte, hvorfor det tilrådes, at der opsættes flugtvejsskilte med anvisningspile, der tydeligt markerer retningen til sikre områder.</w:t>
      </w:r>
    </w:p>
    <w:p w:rsidR="000372F9" w:rsidRDefault="000372F9" w:rsidP="000372F9">
      <w:r w:rsidRPr="000372F9">
        <w:t>Der bør opstilles brandslukningsmateriel så der kan foretages en acceptabel første indsats.</w:t>
      </w:r>
    </w:p>
    <w:p w:rsidR="000372F9" w:rsidRDefault="000372F9" w:rsidP="000372F9"/>
    <w:p w:rsidR="000372F9" w:rsidRPr="000372F9" w:rsidRDefault="000372F9" w:rsidP="000372F9"/>
    <w:sectPr w:rsidR="000372F9" w:rsidRPr="000372F9" w:rsidSect="00626AB6">
      <w:pgSz w:w="11906" w:h="16838"/>
      <w:pgMar w:top="170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45F"/>
    <w:multiLevelType w:val="hybridMultilevel"/>
    <w:tmpl w:val="C3B8F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81597A"/>
    <w:multiLevelType w:val="hybridMultilevel"/>
    <w:tmpl w:val="CA0CC348"/>
    <w:lvl w:ilvl="0" w:tplc="6206EF8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AEE57CB"/>
    <w:multiLevelType w:val="hybridMultilevel"/>
    <w:tmpl w:val="CF708C82"/>
    <w:lvl w:ilvl="0" w:tplc="6206EF8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38D17EB"/>
    <w:multiLevelType w:val="hybridMultilevel"/>
    <w:tmpl w:val="A7BED2A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E7041F2"/>
    <w:multiLevelType w:val="hybridMultilevel"/>
    <w:tmpl w:val="B16AA2AA"/>
    <w:lvl w:ilvl="0" w:tplc="DBC6F0B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080680B"/>
    <w:multiLevelType w:val="hybridMultilevel"/>
    <w:tmpl w:val="958820D4"/>
    <w:lvl w:ilvl="0" w:tplc="DBC6F0B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38E10E5"/>
    <w:multiLevelType w:val="hybridMultilevel"/>
    <w:tmpl w:val="BC8CCF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4902850"/>
    <w:multiLevelType w:val="hybridMultilevel"/>
    <w:tmpl w:val="75CEB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A280AA6"/>
    <w:multiLevelType w:val="hybridMultilevel"/>
    <w:tmpl w:val="7F882D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20A76FA"/>
    <w:multiLevelType w:val="hybridMultilevel"/>
    <w:tmpl w:val="58AC2686"/>
    <w:lvl w:ilvl="0" w:tplc="6206EF8E">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nsid w:val="6C1B0A05"/>
    <w:multiLevelType w:val="hybridMultilevel"/>
    <w:tmpl w:val="0AAA95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3"/>
  </w:num>
  <w:num w:numId="5">
    <w:abstractNumId w:val="6"/>
  </w:num>
  <w:num w:numId="6">
    <w:abstractNumId w:val="2"/>
  </w:num>
  <w:num w:numId="7">
    <w:abstractNumId w:val="7"/>
  </w:num>
  <w:num w:numId="8">
    <w:abstractNumId w:val="0"/>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A7"/>
    <w:rsid w:val="000028BA"/>
    <w:rsid w:val="000372F9"/>
    <w:rsid w:val="001F055D"/>
    <w:rsid w:val="001F39B9"/>
    <w:rsid w:val="002E27F8"/>
    <w:rsid w:val="002F75A7"/>
    <w:rsid w:val="003A2D7D"/>
    <w:rsid w:val="004D28DB"/>
    <w:rsid w:val="00516F18"/>
    <w:rsid w:val="00520BB5"/>
    <w:rsid w:val="00626AB6"/>
    <w:rsid w:val="007E3B49"/>
    <w:rsid w:val="00983FB4"/>
    <w:rsid w:val="00A041A4"/>
    <w:rsid w:val="00A15540"/>
    <w:rsid w:val="00A24D99"/>
    <w:rsid w:val="00A918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41A4"/>
    <w:pPr>
      <w:ind w:left="720"/>
      <w:contextualSpacing/>
    </w:pPr>
  </w:style>
  <w:style w:type="paragraph" w:styleId="Markeringsbobletekst">
    <w:name w:val="Balloon Text"/>
    <w:basedOn w:val="Normal"/>
    <w:link w:val="MarkeringsbobletekstTegn"/>
    <w:uiPriority w:val="99"/>
    <w:semiHidden/>
    <w:unhideWhenUsed/>
    <w:rsid w:val="000372F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372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41A4"/>
    <w:pPr>
      <w:ind w:left="720"/>
      <w:contextualSpacing/>
    </w:pPr>
  </w:style>
  <w:style w:type="paragraph" w:styleId="Markeringsbobletekst">
    <w:name w:val="Balloon Text"/>
    <w:basedOn w:val="Normal"/>
    <w:link w:val="MarkeringsbobletekstTegn"/>
    <w:uiPriority w:val="99"/>
    <w:semiHidden/>
    <w:unhideWhenUsed/>
    <w:rsid w:val="000372F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37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8096">
      <w:bodyDiv w:val="1"/>
      <w:marLeft w:val="0"/>
      <w:marRight w:val="0"/>
      <w:marTop w:val="0"/>
      <w:marBottom w:val="0"/>
      <w:divBdr>
        <w:top w:val="none" w:sz="0" w:space="0" w:color="auto"/>
        <w:left w:val="none" w:sz="0" w:space="0" w:color="auto"/>
        <w:bottom w:val="none" w:sz="0" w:space="0" w:color="auto"/>
        <w:right w:val="none" w:sz="0" w:space="0" w:color="auto"/>
      </w:divBdr>
      <w:divsChild>
        <w:div w:id="627855603">
          <w:marLeft w:val="0"/>
          <w:marRight w:val="0"/>
          <w:marTop w:val="0"/>
          <w:marBottom w:val="0"/>
          <w:divBdr>
            <w:top w:val="none" w:sz="0" w:space="0" w:color="auto"/>
            <w:left w:val="none" w:sz="0" w:space="0" w:color="auto"/>
            <w:bottom w:val="none" w:sz="0" w:space="0" w:color="auto"/>
            <w:right w:val="none" w:sz="0" w:space="0" w:color="auto"/>
          </w:divBdr>
          <w:divsChild>
            <w:div w:id="1079524207">
              <w:marLeft w:val="0"/>
              <w:marRight w:val="0"/>
              <w:marTop w:val="0"/>
              <w:marBottom w:val="0"/>
              <w:divBdr>
                <w:top w:val="none" w:sz="0" w:space="0" w:color="auto"/>
                <w:left w:val="none" w:sz="0" w:space="0" w:color="auto"/>
                <w:bottom w:val="none" w:sz="0" w:space="0" w:color="auto"/>
                <w:right w:val="none" w:sz="0" w:space="0" w:color="auto"/>
              </w:divBdr>
              <w:divsChild>
                <w:div w:id="1071657435">
                  <w:marLeft w:val="0"/>
                  <w:marRight w:val="0"/>
                  <w:marTop w:val="0"/>
                  <w:marBottom w:val="0"/>
                  <w:divBdr>
                    <w:top w:val="none" w:sz="0" w:space="0" w:color="auto"/>
                    <w:left w:val="none" w:sz="0" w:space="0" w:color="auto"/>
                    <w:bottom w:val="none" w:sz="0" w:space="0" w:color="auto"/>
                    <w:right w:val="none" w:sz="0" w:space="0" w:color="auto"/>
                  </w:divBdr>
                  <w:divsChild>
                    <w:div w:id="1682318814">
                      <w:marLeft w:val="0"/>
                      <w:marRight w:val="0"/>
                      <w:marTop w:val="0"/>
                      <w:marBottom w:val="0"/>
                      <w:divBdr>
                        <w:top w:val="none" w:sz="0" w:space="0" w:color="auto"/>
                        <w:left w:val="none" w:sz="0" w:space="0" w:color="auto"/>
                        <w:bottom w:val="none" w:sz="0" w:space="0" w:color="auto"/>
                        <w:right w:val="none" w:sz="0" w:space="0" w:color="auto"/>
                      </w:divBdr>
                      <w:divsChild>
                        <w:div w:id="1470632343">
                          <w:marLeft w:val="0"/>
                          <w:marRight w:val="0"/>
                          <w:marTop w:val="0"/>
                          <w:marBottom w:val="0"/>
                          <w:divBdr>
                            <w:top w:val="none" w:sz="0" w:space="0" w:color="auto"/>
                            <w:left w:val="none" w:sz="0" w:space="0" w:color="auto"/>
                            <w:bottom w:val="none" w:sz="0" w:space="0" w:color="auto"/>
                            <w:right w:val="none" w:sz="0" w:space="0" w:color="auto"/>
                          </w:divBdr>
                          <w:divsChild>
                            <w:div w:id="2082286354">
                              <w:marLeft w:val="0"/>
                              <w:marRight w:val="0"/>
                              <w:marTop w:val="0"/>
                              <w:marBottom w:val="0"/>
                              <w:divBdr>
                                <w:top w:val="none" w:sz="0" w:space="0" w:color="auto"/>
                                <w:left w:val="none" w:sz="0" w:space="0" w:color="auto"/>
                                <w:bottom w:val="none" w:sz="0" w:space="0" w:color="auto"/>
                                <w:right w:val="none" w:sz="0" w:space="0" w:color="auto"/>
                              </w:divBdr>
                              <w:divsChild>
                                <w:div w:id="546180550">
                                  <w:marLeft w:val="0"/>
                                  <w:marRight w:val="0"/>
                                  <w:marTop w:val="225"/>
                                  <w:marBottom w:val="0"/>
                                  <w:divBdr>
                                    <w:top w:val="single" w:sz="2" w:space="13" w:color="C7C3BB"/>
                                    <w:left w:val="single" w:sz="2" w:space="13" w:color="C7C3BB"/>
                                    <w:bottom w:val="single" w:sz="2" w:space="13" w:color="C7C3BB"/>
                                    <w:right w:val="single" w:sz="2" w:space="13" w:color="C7C3BB"/>
                                  </w:divBdr>
                                  <w:divsChild>
                                    <w:div w:id="32964609">
                                      <w:marLeft w:val="0"/>
                                      <w:marRight w:val="0"/>
                                      <w:marTop w:val="0"/>
                                      <w:marBottom w:val="0"/>
                                      <w:divBdr>
                                        <w:top w:val="none" w:sz="0" w:space="0" w:color="auto"/>
                                        <w:left w:val="none" w:sz="0" w:space="0" w:color="auto"/>
                                        <w:bottom w:val="none" w:sz="0" w:space="0" w:color="auto"/>
                                        <w:right w:val="none" w:sz="0" w:space="0" w:color="auto"/>
                                      </w:divBdr>
                                      <w:divsChild>
                                        <w:div w:id="1853059610">
                                          <w:marLeft w:val="0"/>
                                          <w:marRight w:val="0"/>
                                          <w:marTop w:val="0"/>
                                          <w:marBottom w:val="0"/>
                                          <w:divBdr>
                                            <w:top w:val="none" w:sz="0" w:space="0" w:color="auto"/>
                                            <w:left w:val="none" w:sz="0" w:space="0" w:color="auto"/>
                                            <w:bottom w:val="none" w:sz="0" w:space="0" w:color="auto"/>
                                            <w:right w:val="none" w:sz="0" w:space="0" w:color="auto"/>
                                          </w:divBdr>
                                          <w:divsChild>
                                            <w:div w:id="325941233">
                                              <w:marLeft w:val="0"/>
                                              <w:marRight w:val="0"/>
                                              <w:marTop w:val="0"/>
                                              <w:marBottom w:val="0"/>
                                              <w:divBdr>
                                                <w:top w:val="single" w:sz="6" w:space="4" w:color="CB3F23"/>
                                                <w:left w:val="none" w:sz="0" w:space="0" w:color="auto"/>
                                                <w:bottom w:val="single" w:sz="6" w:space="4" w:color="CB3F23"/>
                                                <w:right w:val="none" w:sz="0" w:space="0" w:color="auto"/>
                                              </w:divBdr>
                                            </w:div>
                                            <w:div w:id="129128623">
                                              <w:marLeft w:val="0"/>
                                              <w:marRight w:val="0"/>
                                              <w:marTop w:val="0"/>
                                              <w:marBottom w:val="0"/>
                                              <w:divBdr>
                                                <w:top w:val="single" w:sz="6" w:space="4" w:color="CB3F23"/>
                                                <w:left w:val="none" w:sz="0" w:space="0" w:color="auto"/>
                                                <w:bottom w:val="single" w:sz="6" w:space="4" w:color="CB3F23"/>
                                                <w:right w:val="none" w:sz="0" w:space="0" w:color="auto"/>
                                              </w:divBdr>
                                            </w:div>
                                            <w:div w:id="1092120543">
                                              <w:marLeft w:val="0"/>
                                              <w:marRight w:val="0"/>
                                              <w:marTop w:val="0"/>
                                              <w:marBottom w:val="0"/>
                                              <w:divBdr>
                                                <w:top w:val="single" w:sz="6" w:space="4" w:color="CB3F23"/>
                                                <w:left w:val="none" w:sz="0" w:space="0" w:color="auto"/>
                                                <w:bottom w:val="single" w:sz="6" w:space="4" w:color="CB3F23"/>
                                                <w:right w:val="none" w:sz="0" w:space="0" w:color="auto"/>
                                              </w:divBdr>
                                            </w:div>
                                            <w:div w:id="1479224351">
                                              <w:marLeft w:val="0"/>
                                              <w:marRight w:val="0"/>
                                              <w:marTop w:val="0"/>
                                              <w:marBottom w:val="0"/>
                                              <w:divBdr>
                                                <w:top w:val="single" w:sz="6" w:space="4" w:color="CB3F23"/>
                                                <w:left w:val="none" w:sz="0" w:space="0" w:color="auto"/>
                                                <w:bottom w:val="single" w:sz="6" w:space="4" w:color="CB3F23"/>
                                                <w:right w:val="none" w:sz="0" w:space="0" w:color="auto"/>
                                              </w:divBdr>
                                            </w:div>
                                          </w:divsChild>
                                        </w:div>
                                      </w:divsChild>
                                    </w:div>
                                  </w:divsChild>
                                </w:div>
                              </w:divsChild>
                            </w:div>
                          </w:divsChild>
                        </w:div>
                      </w:divsChild>
                    </w:div>
                  </w:divsChild>
                </w:div>
              </w:divsChild>
            </w:div>
          </w:divsChild>
        </w:div>
      </w:divsChild>
    </w:div>
    <w:div w:id="543443720">
      <w:bodyDiv w:val="1"/>
      <w:marLeft w:val="0"/>
      <w:marRight w:val="0"/>
      <w:marTop w:val="0"/>
      <w:marBottom w:val="0"/>
      <w:divBdr>
        <w:top w:val="none" w:sz="0" w:space="0" w:color="auto"/>
        <w:left w:val="none" w:sz="0" w:space="0" w:color="auto"/>
        <w:bottom w:val="none" w:sz="0" w:space="0" w:color="auto"/>
        <w:right w:val="none" w:sz="0" w:space="0" w:color="auto"/>
      </w:divBdr>
      <w:divsChild>
        <w:div w:id="108285111">
          <w:marLeft w:val="0"/>
          <w:marRight w:val="0"/>
          <w:marTop w:val="0"/>
          <w:marBottom w:val="0"/>
          <w:divBdr>
            <w:top w:val="none" w:sz="0" w:space="0" w:color="auto"/>
            <w:left w:val="none" w:sz="0" w:space="0" w:color="auto"/>
            <w:bottom w:val="none" w:sz="0" w:space="0" w:color="auto"/>
            <w:right w:val="none" w:sz="0" w:space="0" w:color="auto"/>
          </w:divBdr>
          <w:divsChild>
            <w:div w:id="1040977474">
              <w:marLeft w:val="0"/>
              <w:marRight w:val="0"/>
              <w:marTop w:val="0"/>
              <w:marBottom w:val="0"/>
              <w:divBdr>
                <w:top w:val="none" w:sz="0" w:space="0" w:color="auto"/>
                <w:left w:val="none" w:sz="0" w:space="0" w:color="auto"/>
                <w:bottom w:val="none" w:sz="0" w:space="0" w:color="auto"/>
                <w:right w:val="none" w:sz="0" w:space="0" w:color="auto"/>
              </w:divBdr>
              <w:divsChild>
                <w:div w:id="432241344">
                  <w:marLeft w:val="0"/>
                  <w:marRight w:val="0"/>
                  <w:marTop w:val="0"/>
                  <w:marBottom w:val="0"/>
                  <w:divBdr>
                    <w:top w:val="none" w:sz="0" w:space="0" w:color="auto"/>
                    <w:left w:val="none" w:sz="0" w:space="0" w:color="auto"/>
                    <w:bottom w:val="none" w:sz="0" w:space="0" w:color="auto"/>
                    <w:right w:val="none" w:sz="0" w:space="0" w:color="auto"/>
                  </w:divBdr>
                  <w:divsChild>
                    <w:div w:id="892884011">
                      <w:marLeft w:val="0"/>
                      <w:marRight w:val="0"/>
                      <w:marTop w:val="0"/>
                      <w:marBottom w:val="0"/>
                      <w:divBdr>
                        <w:top w:val="none" w:sz="0" w:space="0" w:color="auto"/>
                        <w:left w:val="none" w:sz="0" w:space="0" w:color="auto"/>
                        <w:bottom w:val="none" w:sz="0" w:space="0" w:color="auto"/>
                        <w:right w:val="none" w:sz="0" w:space="0" w:color="auto"/>
                      </w:divBdr>
                      <w:divsChild>
                        <w:div w:id="1770660971">
                          <w:marLeft w:val="0"/>
                          <w:marRight w:val="0"/>
                          <w:marTop w:val="0"/>
                          <w:marBottom w:val="0"/>
                          <w:divBdr>
                            <w:top w:val="none" w:sz="0" w:space="0" w:color="auto"/>
                            <w:left w:val="none" w:sz="0" w:space="0" w:color="auto"/>
                            <w:bottom w:val="none" w:sz="0" w:space="0" w:color="auto"/>
                            <w:right w:val="none" w:sz="0" w:space="0" w:color="auto"/>
                          </w:divBdr>
                          <w:divsChild>
                            <w:div w:id="1387728386">
                              <w:marLeft w:val="0"/>
                              <w:marRight w:val="0"/>
                              <w:marTop w:val="0"/>
                              <w:marBottom w:val="0"/>
                              <w:divBdr>
                                <w:top w:val="none" w:sz="0" w:space="0" w:color="auto"/>
                                <w:left w:val="none" w:sz="0" w:space="0" w:color="auto"/>
                                <w:bottom w:val="none" w:sz="0" w:space="0" w:color="auto"/>
                                <w:right w:val="none" w:sz="0" w:space="0" w:color="auto"/>
                              </w:divBdr>
                              <w:divsChild>
                                <w:div w:id="1303659166">
                                  <w:marLeft w:val="0"/>
                                  <w:marRight w:val="0"/>
                                  <w:marTop w:val="225"/>
                                  <w:marBottom w:val="0"/>
                                  <w:divBdr>
                                    <w:top w:val="single" w:sz="2" w:space="13" w:color="C7C3BB"/>
                                    <w:left w:val="single" w:sz="2" w:space="13" w:color="C7C3BB"/>
                                    <w:bottom w:val="single" w:sz="2" w:space="13" w:color="C7C3BB"/>
                                    <w:right w:val="single" w:sz="2" w:space="13" w:color="C7C3BB"/>
                                  </w:divBdr>
                                  <w:divsChild>
                                    <w:div w:id="1588461987">
                                      <w:marLeft w:val="0"/>
                                      <w:marRight w:val="0"/>
                                      <w:marTop w:val="0"/>
                                      <w:marBottom w:val="0"/>
                                      <w:divBdr>
                                        <w:top w:val="none" w:sz="0" w:space="0" w:color="auto"/>
                                        <w:left w:val="none" w:sz="0" w:space="0" w:color="auto"/>
                                        <w:bottom w:val="none" w:sz="0" w:space="0" w:color="auto"/>
                                        <w:right w:val="none" w:sz="0" w:space="0" w:color="auto"/>
                                      </w:divBdr>
                                      <w:divsChild>
                                        <w:div w:id="1590888948">
                                          <w:marLeft w:val="0"/>
                                          <w:marRight w:val="0"/>
                                          <w:marTop w:val="0"/>
                                          <w:marBottom w:val="0"/>
                                          <w:divBdr>
                                            <w:top w:val="none" w:sz="0" w:space="0" w:color="auto"/>
                                            <w:left w:val="none" w:sz="0" w:space="0" w:color="auto"/>
                                            <w:bottom w:val="none" w:sz="0" w:space="0" w:color="auto"/>
                                            <w:right w:val="none" w:sz="0" w:space="0" w:color="auto"/>
                                          </w:divBdr>
                                          <w:divsChild>
                                            <w:div w:id="1526480133">
                                              <w:marLeft w:val="0"/>
                                              <w:marRight w:val="0"/>
                                              <w:marTop w:val="0"/>
                                              <w:marBottom w:val="0"/>
                                              <w:divBdr>
                                                <w:top w:val="single" w:sz="6" w:space="4" w:color="CB3F23"/>
                                                <w:left w:val="none" w:sz="0" w:space="0" w:color="auto"/>
                                                <w:bottom w:val="single" w:sz="6" w:space="4" w:color="CB3F23"/>
                                                <w:right w:val="none" w:sz="0" w:space="0" w:color="auto"/>
                                              </w:divBdr>
                                            </w:div>
                                            <w:div w:id="2126271322">
                                              <w:marLeft w:val="0"/>
                                              <w:marRight w:val="0"/>
                                              <w:marTop w:val="0"/>
                                              <w:marBottom w:val="0"/>
                                              <w:divBdr>
                                                <w:top w:val="single" w:sz="6" w:space="4" w:color="CB3F23"/>
                                                <w:left w:val="none" w:sz="0" w:space="0" w:color="auto"/>
                                                <w:bottom w:val="single" w:sz="6" w:space="4" w:color="CB3F23"/>
                                                <w:right w:val="none" w:sz="0" w:space="0" w:color="auto"/>
                                              </w:divBdr>
                                            </w:div>
                                            <w:div w:id="1082408622">
                                              <w:marLeft w:val="0"/>
                                              <w:marRight w:val="0"/>
                                              <w:marTop w:val="0"/>
                                              <w:marBottom w:val="0"/>
                                              <w:divBdr>
                                                <w:top w:val="single" w:sz="6" w:space="4" w:color="CB3F23"/>
                                                <w:left w:val="none" w:sz="0" w:space="0" w:color="auto"/>
                                                <w:bottom w:val="single" w:sz="6" w:space="4" w:color="CB3F23"/>
                                                <w:right w:val="none" w:sz="0" w:space="0" w:color="auto"/>
                                              </w:divBdr>
                                            </w:div>
                                            <w:div w:id="710619217">
                                              <w:marLeft w:val="0"/>
                                              <w:marRight w:val="0"/>
                                              <w:marTop w:val="0"/>
                                              <w:marBottom w:val="0"/>
                                              <w:divBdr>
                                                <w:top w:val="single" w:sz="6" w:space="4" w:color="CB3F23"/>
                                                <w:left w:val="none" w:sz="0" w:space="0" w:color="auto"/>
                                                <w:bottom w:val="single" w:sz="6" w:space="4" w:color="CB3F23"/>
                                                <w:right w:val="none" w:sz="0" w:space="0" w:color="auto"/>
                                              </w:divBdr>
                                            </w:div>
                                          </w:divsChild>
                                        </w:div>
                                      </w:divsChild>
                                    </w:div>
                                  </w:divsChild>
                                </w:div>
                              </w:divsChild>
                            </w:div>
                          </w:divsChild>
                        </w:div>
                      </w:divsChild>
                    </w:div>
                  </w:divsChild>
                </w:div>
              </w:divsChild>
            </w:div>
          </w:divsChild>
        </w:div>
      </w:divsChild>
    </w:div>
    <w:div w:id="838889094">
      <w:bodyDiv w:val="1"/>
      <w:marLeft w:val="0"/>
      <w:marRight w:val="0"/>
      <w:marTop w:val="0"/>
      <w:marBottom w:val="0"/>
      <w:divBdr>
        <w:top w:val="none" w:sz="0" w:space="0" w:color="auto"/>
        <w:left w:val="none" w:sz="0" w:space="0" w:color="auto"/>
        <w:bottom w:val="none" w:sz="0" w:space="0" w:color="auto"/>
        <w:right w:val="none" w:sz="0" w:space="0" w:color="auto"/>
      </w:divBdr>
      <w:divsChild>
        <w:div w:id="1147283957">
          <w:marLeft w:val="0"/>
          <w:marRight w:val="0"/>
          <w:marTop w:val="0"/>
          <w:marBottom w:val="0"/>
          <w:divBdr>
            <w:top w:val="none" w:sz="0" w:space="0" w:color="auto"/>
            <w:left w:val="none" w:sz="0" w:space="0" w:color="auto"/>
            <w:bottom w:val="none" w:sz="0" w:space="0" w:color="auto"/>
            <w:right w:val="none" w:sz="0" w:space="0" w:color="auto"/>
          </w:divBdr>
          <w:divsChild>
            <w:div w:id="1603222390">
              <w:marLeft w:val="0"/>
              <w:marRight w:val="0"/>
              <w:marTop w:val="0"/>
              <w:marBottom w:val="0"/>
              <w:divBdr>
                <w:top w:val="none" w:sz="0" w:space="0" w:color="auto"/>
                <w:left w:val="none" w:sz="0" w:space="0" w:color="auto"/>
                <w:bottom w:val="none" w:sz="0" w:space="0" w:color="auto"/>
                <w:right w:val="none" w:sz="0" w:space="0" w:color="auto"/>
              </w:divBdr>
              <w:divsChild>
                <w:div w:id="1729378337">
                  <w:marLeft w:val="0"/>
                  <w:marRight w:val="0"/>
                  <w:marTop w:val="0"/>
                  <w:marBottom w:val="0"/>
                  <w:divBdr>
                    <w:top w:val="none" w:sz="0" w:space="0" w:color="auto"/>
                    <w:left w:val="none" w:sz="0" w:space="0" w:color="auto"/>
                    <w:bottom w:val="none" w:sz="0" w:space="0" w:color="auto"/>
                    <w:right w:val="none" w:sz="0" w:space="0" w:color="auto"/>
                  </w:divBdr>
                  <w:divsChild>
                    <w:div w:id="1989163041">
                      <w:marLeft w:val="0"/>
                      <w:marRight w:val="0"/>
                      <w:marTop w:val="0"/>
                      <w:marBottom w:val="0"/>
                      <w:divBdr>
                        <w:top w:val="none" w:sz="0" w:space="0" w:color="auto"/>
                        <w:left w:val="none" w:sz="0" w:space="0" w:color="auto"/>
                        <w:bottom w:val="none" w:sz="0" w:space="0" w:color="auto"/>
                        <w:right w:val="none" w:sz="0" w:space="0" w:color="auto"/>
                      </w:divBdr>
                      <w:divsChild>
                        <w:div w:id="888103022">
                          <w:marLeft w:val="0"/>
                          <w:marRight w:val="0"/>
                          <w:marTop w:val="0"/>
                          <w:marBottom w:val="0"/>
                          <w:divBdr>
                            <w:top w:val="none" w:sz="0" w:space="0" w:color="auto"/>
                            <w:left w:val="none" w:sz="0" w:space="0" w:color="auto"/>
                            <w:bottom w:val="none" w:sz="0" w:space="0" w:color="auto"/>
                            <w:right w:val="none" w:sz="0" w:space="0" w:color="auto"/>
                          </w:divBdr>
                          <w:divsChild>
                            <w:div w:id="175077582">
                              <w:marLeft w:val="0"/>
                              <w:marRight w:val="0"/>
                              <w:marTop w:val="0"/>
                              <w:marBottom w:val="0"/>
                              <w:divBdr>
                                <w:top w:val="none" w:sz="0" w:space="0" w:color="auto"/>
                                <w:left w:val="none" w:sz="0" w:space="0" w:color="auto"/>
                                <w:bottom w:val="none" w:sz="0" w:space="0" w:color="auto"/>
                                <w:right w:val="none" w:sz="0" w:space="0" w:color="auto"/>
                              </w:divBdr>
                              <w:divsChild>
                                <w:div w:id="1002005901">
                                  <w:marLeft w:val="0"/>
                                  <w:marRight w:val="0"/>
                                  <w:marTop w:val="225"/>
                                  <w:marBottom w:val="0"/>
                                  <w:divBdr>
                                    <w:top w:val="single" w:sz="2" w:space="13" w:color="C7C3BB"/>
                                    <w:left w:val="single" w:sz="2" w:space="13" w:color="C7C3BB"/>
                                    <w:bottom w:val="single" w:sz="2" w:space="13" w:color="C7C3BB"/>
                                    <w:right w:val="single" w:sz="2" w:space="13" w:color="C7C3BB"/>
                                  </w:divBdr>
                                  <w:divsChild>
                                    <w:div w:id="1545097587">
                                      <w:marLeft w:val="0"/>
                                      <w:marRight w:val="0"/>
                                      <w:marTop w:val="0"/>
                                      <w:marBottom w:val="0"/>
                                      <w:divBdr>
                                        <w:top w:val="none" w:sz="0" w:space="0" w:color="auto"/>
                                        <w:left w:val="none" w:sz="0" w:space="0" w:color="auto"/>
                                        <w:bottom w:val="none" w:sz="0" w:space="0" w:color="auto"/>
                                        <w:right w:val="none" w:sz="0" w:space="0" w:color="auto"/>
                                      </w:divBdr>
                                      <w:divsChild>
                                        <w:div w:id="1687098108">
                                          <w:marLeft w:val="0"/>
                                          <w:marRight w:val="0"/>
                                          <w:marTop w:val="0"/>
                                          <w:marBottom w:val="0"/>
                                          <w:divBdr>
                                            <w:top w:val="none" w:sz="0" w:space="0" w:color="auto"/>
                                            <w:left w:val="none" w:sz="0" w:space="0" w:color="auto"/>
                                            <w:bottom w:val="none" w:sz="0" w:space="0" w:color="auto"/>
                                            <w:right w:val="none" w:sz="0" w:space="0" w:color="auto"/>
                                          </w:divBdr>
                                          <w:divsChild>
                                            <w:div w:id="1663313126">
                                              <w:marLeft w:val="0"/>
                                              <w:marRight w:val="0"/>
                                              <w:marTop w:val="0"/>
                                              <w:marBottom w:val="0"/>
                                              <w:divBdr>
                                                <w:top w:val="single" w:sz="6" w:space="4" w:color="CB3F23"/>
                                                <w:left w:val="none" w:sz="0" w:space="0" w:color="auto"/>
                                                <w:bottom w:val="single" w:sz="6" w:space="4" w:color="CB3F23"/>
                                                <w:right w:val="none" w:sz="0" w:space="0" w:color="auto"/>
                                              </w:divBdr>
                                            </w:div>
                                            <w:div w:id="360984553">
                                              <w:marLeft w:val="0"/>
                                              <w:marRight w:val="0"/>
                                              <w:marTop w:val="0"/>
                                              <w:marBottom w:val="0"/>
                                              <w:divBdr>
                                                <w:top w:val="single" w:sz="6" w:space="4" w:color="CB3F23"/>
                                                <w:left w:val="none" w:sz="0" w:space="0" w:color="auto"/>
                                                <w:bottom w:val="single" w:sz="6" w:space="4" w:color="CB3F23"/>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13954-031B-4B86-BA87-46DF04D4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6977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Freudendahl</dc:creator>
  <cp:lastModifiedBy>Allan Gyldendal Frederiksen</cp:lastModifiedBy>
  <cp:revision>2</cp:revision>
  <cp:lastPrinted>2017-05-31T11:31:00Z</cp:lastPrinted>
  <dcterms:created xsi:type="dcterms:W3CDTF">2017-08-16T11:50:00Z</dcterms:created>
  <dcterms:modified xsi:type="dcterms:W3CDTF">2017-08-16T11:50:00Z</dcterms:modified>
</cp:coreProperties>
</file>