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85" w:rsidRDefault="00BF632C" w:rsidP="002F75A7">
      <w:pPr>
        <w:jc w:val="center"/>
        <w:rPr>
          <w:b/>
          <w:sz w:val="32"/>
          <w:szCs w:val="32"/>
        </w:rPr>
      </w:pPr>
      <w:r>
        <w:rPr>
          <w:b/>
          <w:sz w:val="40"/>
          <w:szCs w:val="40"/>
        </w:rPr>
        <w:t>Transportable telte</w:t>
      </w:r>
      <w:r w:rsidR="00BE1F85">
        <w:rPr>
          <w:b/>
          <w:sz w:val="40"/>
          <w:szCs w:val="40"/>
        </w:rPr>
        <w:t xml:space="preserve">. </w:t>
      </w:r>
    </w:p>
    <w:p w:rsidR="002645E3" w:rsidRDefault="002645E3" w:rsidP="002645E3">
      <w:pPr>
        <w:jc w:val="center"/>
        <w:rPr>
          <w:b/>
          <w:sz w:val="32"/>
          <w:szCs w:val="32"/>
        </w:rPr>
      </w:pPr>
      <w:r>
        <w:rPr>
          <w:b/>
          <w:sz w:val="32"/>
          <w:szCs w:val="32"/>
        </w:rPr>
        <w:t>Uddrag af regler i BR 15</w:t>
      </w:r>
    </w:p>
    <w:p w:rsidR="002645E3" w:rsidRPr="00626AB6" w:rsidRDefault="002645E3" w:rsidP="002F75A7">
      <w:pPr>
        <w:jc w:val="center"/>
        <w:rPr>
          <w:b/>
          <w:sz w:val="40"/>
          <w:szCs w:val="40"/>
        </w:rPr>
      </w:pPr>
    </w:p>
    <w:tbl>
      <w:tblPr>
        <w:tblW w:w="5277" w:type="pct"/>
        <w:tblCellSpacing w:w="0" w:type="dxa"/>
        <w:tblInd w:w="-491" w:type="dxa"/>
        <w:tblCellMar>
          <w:top w:w="15" w:type="dxa"/>
          <w:left w:w="15" w:type="dxa"/>
          <w:bottom w:w="15" w:type="dxa"/>
          <w:right w:w="15" w:type="dxa"/>
        </w:tblCellMar>
        <w:tblLook w:val="04A0" w:firstRow="1" w:lastRow="0" w:firstColumn="1" w:lastColumn="0" w:noHBand="0" w:noVBand="1"/>
      </w:tblPr>
      <w:tblGrid>
        <w:gridCol w:w="49"/>
        <w:gridCol w:w="39"/>
        <w:gridCol w:w="627"/>
        <w:gridCol w:w="3845"/>
        <w:gridCol w:w="802"/>
        <w:gridCol w:w="4775"/>
        <w:gridCol w:w="67"/>
      </w:tblGrid>
      <w:tr w:rsidR="00BF632C" w:rsidRPr="00BF632C" w:rsidTr="008669D4">
        <w:trPr>
          <w:gridBefore w:val="3"/>
          <w:gridAfter w:val="1"/>
          <w:wBefore w:w="350" w:type="pct"/>
          <w:wAfter w:w="33" w:type="pct"/>
          <w:tblCellSpacing w:w="0" w:type="dxa"/>
        </w:trPr>
        <w:tc>
          <w:tcPr>
            <w:tcW w:w="2277" w:type="pct"/>
            <w:gridSpan w:val="2"/>
            <w:tcBorders>
              <w:bottom w:val="nil"/>
            </w:tcBorders>
            <w:hideMark/>
          </w:tcPr>
          <w:p w:rsidR="00694692" w:rsidRPr="008F530F" w:rsidRDefault="00694692" w:rsidP="00846089">
            <w:pPr>
              <w:spacing w:before="100" w:beforeAutospacing="1" w:after="100" w:afterAutospacing="1" w:line="240" w:lineRule="auto"/>
              <w:outlineLvl w:val="2"/>
              <w:rPr>
                <w:rFonts w:ascii="Verdana" w:eastAsia="Times New Roman" w:hAnsi="Verdana" w:cs="Times New Roman"/>
                <w:b/>
                <w:bCs/>
                <w:color w:val="000000"/>
                <w:sz w:val="28"/>
                <w:szCs w:val="28"/>
                <w:lang w:eastAsia="da-DK"/>
              </w:rPr>
            </w:pPr>
            <w:r w:rsidRPr="008F530F">
              <w:rPr>
                <w:rFonts w:ascii="Verdana" w:eastAsia="Times New Roman" w:hAnsi="Verdana" w:cs="Times New Roman"/>
                <w:b/>
                <w:bCs/>
                <w:color w:val="000000"/>
                <w:sz w:val="28"/>
                <w:szCs w:val="28"/>
                <w:lang w:eastAsia="da-DK"/>
              </w:rPr>
              <w:t>Kap. 1.3</w:t>
            </w:r>
          </w:p>
          <w:p w:rsidR="00BF632C" w:rsidRPr="00BF632C" w:rsidRDefault="00BF632C" w:rsidP="00BF632C">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BF632C">
              <w:rPr>
                <w:rFonts w:ascii="Verdana" w:eastAsia="Times New Roman" w:hAnsi="Verdana" w:cs="Times New Roman"/>
                <w:bCs/>
                <w:color w:val="000000"/>
                <w:sz w:val="20"/>
                <w:szCs w:val="20"/>
                <w:lang w:eastAsia="da-DK"/>
              </w:rPr>
              <w:t>Stk. 5</w:t>
            </w:r>
          </w:p>
          <w:p w:rsidR="00BF632C" w:rsidRDefault="00BF632C" w:rsidP="00BF632C">
            <w:pPr>
              <w:shd w:val="clear" w:color="auto" w:fill="FFFFFF"/>
              <w:spacing w:after="0" w:line="240" w:lineRule="auto"/>
              <w:rPr>
                <w:rFonts w:ascii="Verdana" w:eastAsia="Times New Roman" w:hAnsi="Verdana" w:cs="Times New Roman"/>
                <w:color w:val="333333"/>
                <w:sz w:val="19"/>
                <w:szCs w:val="19"/>
                <w:lang w:eastAsia="da-DK"/>
              </w:rPr>
            </w:pPr>
            <w:r w:rsidRPr="00BF632C">
              <w:rPr>
                <w:rFonts w:ascii="Verdana" w:eastAsia="Times New Roman" w:hAnsi="Verdana" w:cs="Times New Roman"/>
                <w:color w:val="333333"/>
                <w:sz w:val="19"/>
                <w:szCs w:val="19"/>
                <w:lang w:eastAsia="da-DK"/>
              </w:rPr>
              <w:t xml:space="preserve">Ved transportable konstruktioner, som ikke er certificeret efter reglerne i bekendtgørelse om certificeringsordning for transportable telte og konstruktioner, jf. </w:t>
            </w:r>
            <w:r w:rsidRPr="00BF632C">
              <w:rPr>
                <w:rFonts w:ascii="Verdana" w:eastAsia="Times New Roman" w:hAnsi="Verdana" w:cs="Times New Roman"/>
                <w:b/>
                <w:color w:val="333333"/>
                <w:sz w:val="19"/>
                <w:szCs w:val="19"/>
                <w:lang w:eastAsia="da-DK"/>
              </w:rPr>
              <w:t>kap. 1.3.5</w:t>
            </w:r>
            <w:r w:rsidRPr="00BF632C">
              <w:rPr>
                <w:rFonts w:ascii="Verdana" w:eastAsia="Times New Roman" w:hAnsi="Verdana" w:cs="Times New Roman"/>
                <w:color w:val="333333"/>
                <w:sz w:val="19"/>
                <w:szCs w:val="19"/>
                <w:lang w:eastAsia="da-DK"/>
              </w:rPr>
              <w:t>, skal ansøgning om byggetilladelse til opstilling af konstruktionen indgives og signeres med digital signatur af brugeren af konstruktionen.</w:t>
            </w:r>
          </w:p>
          <w:p w:rsidR="00694692" w:rsidRDefault="00694692" w:rsidP="00BF632C">
            <w:pPr>
              <w:shd w:val="clear" w:color="auto" w:fill="FFFFFF"/>
              <w:spacing w:after="0" w:line="240" w:lineRule="auto"/>
              <w:rPr>
                <w:rFonts w:ascii="Verdana" w:eastAsia="Times New Roman" w:hAnsi="Verdana" w:cs="Times New Roman"/>
                <w:color w:val="333333"/>
                <w:sz w:val="19"/>
                <w:szCs w:val="19"/>
                <w:lang w:eastAsia="da-DK"/>
              </w:rPr>
            </w:pPr>
          </w:p>
          <w:p w:rsidR="00694692" w:rsidRDefault="00694692" w:rsidP="00BF632C">
            <w:pPr>
              <w:shd w:val="clear" w:color="auto" w:fill="FFFFFF"/>
              <w:spacing w:after="0" w:line="240" w:lineRule="auto"/>
              <w:rPr>
                <w:rFonts w:ascii="Verdana" w:eastAsia="Times New Roman" w:hAnsi="Verdana" w:cs="Times New Roman"/>
                <w:color w:val="333333"/>
                <w:sz w:val="19"/>
                <w:szCs w:val="19"/>
                <w:lang w:eastAsia="da-DK"/>
              </w:rPr>
            </w:pPr>
          </w:p>
          <w:p w:rsidR="008F530F" w:rsidRPr="00BF632C" w:rsidRDefault="008F530F" w:rsidP="00BF632C">
            <w:pPr>
              <w:shd w:val="clear" w:color="auto" w:fill="FFFFFF"/>
              <w:spacing w:after="0" w:line="240" w:lineRule="auto"/>
              <w:rPr>
                <w:rFonts w:ascii="Verdana" w:eastAsia="Times New Roman" w:hAnsi="Verdana" w:cs="Times New Roman"/>
                <w:b/>
                <w:color w:val="333333"/>
                <w:sz w:val="28"/>
                <w:szCs w:val="28"/>
                <w:lang w:eastAsia="da-DK"/>
              </w:rPr>
            </w:pPr>
            <w:r w:rsidRPr="008F530F">
              <w:rPr>
                <w:rFonts w:ascii="Verdana" w:eastAsia="Times New Roman" w:hAnsi="Verdana" w:cs="Times New Roman"/>
                <w:b/>
                <w:color w:val="333333"/>
                <w:sz w:val="28"/>
                <w:szCs w:val="28"/>
                <w:lang w:eastAsia="da-DK"/>
              </w:rPr>
              <w:t>Kap. 1.3</w:t>
            </w:r>
            <w:r>
              <w:rPr>
                <w:rFonts w:ascii="Verdana" w:eastAsia="Times New Roman" w:hAnsi="Verdana" w:cs="Times New Roman"/>
                <w:b/>
                <w:color w:val="333333"/>
                <w:sz w:val="28"/>
                <w:szCs w:val="28"/>
                <w:lang w:eastAsia="da-DK"/>
              </w:rPr>
              <w:t>.5</w:t>
            </w:r>
          </w:p>
        </w:tc>
        <w:tc>
          <w:tcPr>
            <w:tcW w:w="2340" w:type="pct"/>
            <w:tcBorders>
              <w:bottom w:val="nil"/>
            </w:tcBorders>
            <w:hideMark/>
          </w:tcPr>
          <w:p w:rsidR="00694692" w:rsidRDefault="00694692" w:rsidP="00BF632C">
            <w:pPr>
              <w:spacing w:before="100" w:beforeAutospacing="1" w:after="100" w:afterAutospacing="1" w:line="240" w:lineRule="auto"/>
              <w:outlineLvl w:val="2"/>
              <w:rPr>
                <w:rFonts w:ascii="Verdana" w:eastAsia="Times New Roman" w:hAnsi="Verdana" w:cs="Times New Roman"/>
                <w:bCs/>
                <w:color w:val="000000"/>
                <w:sz w:val="20"/>
                <w:szCs w:val="20"/>
                <w:lang w:eastAsia="da-DK"/>
              </w:rPr>
            </w:pPr>
          </w:p>
          <w:p w:rsidR="00BF632C" w:rsidRPr="00BF632C" w:rsidRDefault="00BF632C" w:rsidP="008669D4">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BF632C">
              <w:rPr>
                <w:rFonts w:ascii="Verdana" w:eastAsia="Times New Roman" w:hAnsi="Verdana" w:cs="Times New Roman"/>
                <w:bCs/>
                <w:color w:val="000000"/>
                <w:sz w:val="20"/>
                <w:szCs w:val="20"/>
                <w:lang w:eastAsia="da-DK"/>
              </w:rPr>
              <w:t>(1.3, stk. 5)</w:t>
            </w:r>
          </w:p>
          <w:p w:rsidR="00BF632C" w:rsidRPr="00BF632C" w:rsidRDefault="00BF632C" w:rsidP="00BF632C">
            <w:pPr>
              <w:shd w:val="clear" w:color="auto" w:fill="FFFFFF"/>
              <w:spacing w:after="0" w:line="240" w:lineRule="auto"/>
              <w:ind w:left="110"/>
              <w:rPr>
                <w:rFonts w:ascii="Verdana" w:eastAsia="Times New Roman" w:hAnsi="Verdana" w:cs="Times New Roman"/>
                <w:color w:val="333333"/>
                <w:sz w:val="19"/>
                <w:szCs w:val="19"/>
                <w:lang w:eastAsia="da-DK"/>
              </w:rPr>
            </w:pPr>
            <w:r w:rsidRPr="00BF632C">
              <w:rPr>
                <w:rFonts w:ascii="Verdana" w:eastAsia="Times New Roman" w:hAnsi="Verdana" w:cs="Times New Roman"/>
                <w:color w:val="333333"/>
                <w:sz w:val="19"/>
                <w:szCs w:val="19"/>
                <w:lang w:eastAsia="da-DK"/>
              </w:rPr>
              <w:t>Ejeren og brugeren kan være den samme fysiske eller juridiske person. Ved bruger forstås den fysiske eller juridiske person, der rent faktisk skal anvende konstruktionen, eller til hvis arrangement konstruktionen skal anvendes.</w:t>
            </w:r>
          </w:p>
        </w:tc>
      </w:tr>
      <w:tr w:rsidR="00694692" w:rsidRPr="00694692" w:rsidTr="008669D4">
        <w:trPr>
          <w:gridBefore w:val="3"/>
          <w:gridAfter w:val="1"/>
          <w:wBefore w:w="350" w:type="pct"/>
          <w:wAfter w:w="33" w:type="pct"/>
          <w:tblCellSpacing w:w="0" w:type="dxa"/>
        </w:trPr>
        <w:tc>
          <w:tcPr>
            <w:tcW w:w="2277" w:type="pct"/>
            <w:gridSpan w:val="2"/>
            <w:tcBorders>
              <w:bottom w:val="nil"/>
            </w:tcBorders>
            <w:hideMark/>
          </w:tcPr>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Stk. 1</w:t>
            </w:r>
          </w:p>
          <w:p w:rsidR="00694692" w:rsidRPr="00694692" w:rsidRDefault="00694692" w:rsidP="008669D4">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 xml:space="preserve">De i </w:t>
            </w:r>
            <w:r w:rsidRPr="00694692">
              <w:rPr>
                <w:rFonts w:ascii="Verdana" w:eastAsia="Times New Roman" w:hAnsi="Verdana" w:cs="Times New Roman"/>
                <w:b/>
                <w:bCs/>
                <w:color w:val="000000"/>
                <w:sz w:val="20"/>
                <w:szCs w:val="20"/>
                <w:lang w:eastAsia="da-DK"/>
              </w:rPr>
              <w:t>bilag 2, skema 1</w:t>
            </w:r>
            <w:r w:rsidRPr="00694692">
              <w:rPr>
                <w:rFonts w:ascii="Verdana" w:eastAsia="Times New Roman" w:hAnsi="Verdana" w:cs="Times New Roman"/>
                <w:bCs/>
                <w:color w:val="000000"/>
                <w:sz w:val="20"/>
                <w:szCs w:val="20"/>
                <w:lang w:eastAsia="da-DK"/>
              </w:rPr>
              <w:t>, nævnte transportable telte og konstruktioner må ikke opstilles uden forudgående byggetilladelse fra kommunalbestyrelsen.</w:t>
            </w:r>
          </w:p>
        </w:tc>
        <w:tc>
          <w:tcPr>
            <w:tcW w:w="2340" w:type="pct"/>
            <w:tcBorders>
              <w:bottom w:val="nil"/>
            </w:tcBorders>
            <w:hideMark/>
          </w:tcPr>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(1.3.5.1, stk. 1)</w:t>
            </w:r>
          </w:p>
          <w:p w:rsidR="00694692" w:rsidRPr="00694692" w:rsidRDefault="00694692" w:rsidP="008669D4">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 xml:space="preserve">Transportable konstruktioner skal </w:t>
            </w:r>
            <w:proofErr w:type="spellStart"/>
            <w:r w:rsidRPr="00694692">
              <w:rPr>
                <w:rFonts w:ascii="Verdana" w:eastAsia="Times New Roman" w:hAnsi="Verdana" w:cs="Times New Roman"/>
                <w:bCs/>
                <w:color w:val="000000"/>
                <w:sz w:val="20"/>
                <w:szCs w:val="20"/>
                <w:lang w:eastAsia="da-DK"/>
              </w:rPr>
              <w:t>byggesagsbehandles</w:t>
            </w:r>
            <w:proofErr w:type="spellEnd"/>
            <w:r w:rsidRPr="00694692">
              <w:rPr>
                <w:rFonts w:ascii="Verdana" w:eastAsia="Times New Roman" w:hAnsi="Verdana" w:cs="Times New Roman"/>
                <w:bCs/>
                <w:color w:val="000000"/>
                <w:sz w:val="20"/>
                <w:szCs w:val="20"/>
                <w:lang w:eastAsia="da-DK"/>
              </w:rPr>
              <w:t xml:space="preserve"> efter reglerne i kap. 1.3.3, da der er tale om øvrig bebyggelse. I byggesagsbehandlingen skal kommunen dog kun påse, at reglerne i kap. 3.2,1, kap. 4.1-4.3 og kap. 5, er overholdt, jf. stk. 3. Transportable telte og konstruktioner, der ikke er nævnt i bilag 2, skema 1 eller 2, men som kommunalbestyrelsen efter en konkret vurdering finder at være omfattet af byggelovens § 2, stk. 3, må ikke opsættes uden forudgående byggetilladelse, jf. byggelovens § 16, stk. 1, og bygningsreglementets kap. 1.3, stk. 1. Disse telte og konstruktioner kan dog certificeres i henhold til bekendtgørelse om certificeringsordning for transportable telte og konstruktioner, og byggetilladelse er i så fald ikke påkrævet, jf. kap. 1.3.5.1, stk. 2.</w:t>
            </w:r>
          </w:p>
        </w:tc>
      </w:tr>
      <w:tr w:rsidR="00694692" w:rsidRPr="00694692" w:rsidTr="008669D4">
        <w:trPr>
          <w:gridBefore w:val="3"/>
          <w:gridAfter w:val="1"/>
          <w:wBefore w:w="350" w:type="pct"/>
          <w:wAfter w:w="33" w:type="pct"/>
          <w:tblCellSpacing w:w="0" w:type="dxa"/>
        </w:trPr>
        <w:tc>
          <w:tcPr>
            <w:tcW w:w="2277" w:type="pct"/>
            <w:gridSpan w:val="2"/>
            <w:tcBorders>
              <w:bottom w:val="nil"/>
            </w:tcBorders>
            <w:hideMark/>
          </w:tcPr>
          <w:p w:rsidR="008F530F" w:rsidRDefault="008F530F"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p>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Stk. 2</w:t>
            </w:r>
          </w:p>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 xml:space="preserve">Transportable telte og konstruktioner kan dog opstilles uden, at der foreligger byggetilladelse fra kommunalbestyrelsen, hvis det transportable telt eller den transportable konstruktion er certificeret efter reglerne i bekendtgørelse om </w:t>
            </w:r>
            <w:r w:rsidRPr="00694692">
              <w:rPr>
                <w:rFonts w:ascii="Verdana" w:eastAsia="Times New Roman" w:hAnsi="Verdana" w:cs="Times New Roman"/>
                <w:bCs/>
                <w:color w:val="000000"/>
                <w:sz w:val="20"/>
                <w:szCs w:val="20"/>
                <w:lang w:eastAsia="da-DK"/>
              </w:rPr>
              <w:lastRenderedPageBreak/>
              <w:t>certificeringsordning for transportable telte og konstruktioner.</w:t>
            </w:r>
          </w:p>
        </w:tc>
        <w:tc>
          <w:tcPr>
            <w:tcW w:w="2340" w:type="pct"/>
            <w:tcBorders>
              <w:bottom w:val="nil"/>
            </w:tcBorders>
            <w:hideMark/>
          </w:tcPr>
          <w:p w:rsidR="008F530F" w:rsidRDefault="008F530F"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p>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(1.3.5.1, stk. 2)</w:t>
            </w:r>
          </w:p>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Det er ligeledes muligt at få certificeret et transportabelt telt eller en transportabel konstruktion, der skal bruges til overnatning.</w:t>
            </w:r>
          </w:p>
        </w:tc>
      </w:tr>
      <w:tr w:rsidR="00694692" w:rsidRPr="00694692" w:rsidTr="008669D4">
        <w:trPr>
          <w:gridBefore w:val="3"/>
          <w:gridAfter w:val="1"/>
          <w:wBefore w:w="350" w:type="pct"/>
          <w:wAfter w:w="33" w:type="pct"/>
          <w:tblCellSpacing w:w="0" w:type="dxa"/>
        </w:trPr>
        <w:tc>
          <w:tcPr>
            <w:tcW w:w="2277" w:type="pct"/>
            <w:gridSpan w:val="2"/>
            <w:tcBorders>
              <w:bottom w:val="nil"/>
            </w:tcBorders>
            <w:hideMark/>
          </w:tcPr>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bookmarkStart w:id="0" w:name="stk3"/>
            <w:bookmarkEnd w:id="0"/>
            <w:r w:rsidRPr="00694692">
              <w:rPr>
                <w:rFonts w:ascii="Verdana" w:eastAsia="Times New Roman" w:hAnsi="Verdana" w:cs="Times New Roman"/>
                <w:bCs/>
                <w:color w:val="000000"/>
                <w:sz w:val="20"/>
                <w:szCs w:val="20"/>
                <w:lang w:eastAsia="da-DK"/>
              </w:rPr>
              <w:lastRenderedPageBreak/>
              <w:t>Stk. 3</w:t>
            </w:r>
          </w:p>
          <w:p w:rsidR="00694692" w:rsidRPr="00694692" w:rsidRDefault="00694692" w:rsidP="00BE1F85">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 xml:space="preserve">Opstilling af transportable konstruktioner skal dog </w:t>
            </w:r>
            <w:r w:rsidR="00BE1F85">
              <w:rPr>
                <w:rFonts w:ascii="Verdana" w:eastAsia="Times New Roman" w:hAnsi="Verdana" w:cs="Times New Roman"/>
                <w:bCs/>
                <w:color w:val="000000"/>
                <w:sz w:val="20"/>
                <w:szCs w:val="20"/>
                <w:u w:val="single"/>
                <w:lang w:eastAsia="da-DK"/>
              </w:rPr>
              <w:t>meddeles</w:t>
            </w:r>
            <w:r w:rsidRPr="00694692">
              <w:rPr>
                <w:rFonts w:ascii="Verdana" w:eastAsia="Times New Roman" w:hAnsi="Verdana" w:cs="Times New Roman"/>
                <w:bCs/>
                <w:color w:val="000000"/>
                <w:sz w:val="20"/>
                <w:szCs w:val="20"/>
                <w:lang w:eastAsia="da-DK"/>
              </w:rPr>
              <w:t xml:space="preserve"> til kommunalbestyrelsen, hvis den transportable konstruktion anvendes af mere end 150 personer.</w:t>
            </w:r>
          </w:p>
        </w:tc>
        <w:tc>
          <w:tcPr>
            <w:tcW w:w="2340" w:type="pct"/>
            <w:tcBorders>
              <w:bottom w:val="nil"/>
            </w:tcBorders>
            <w:hideMark/>
          </w:tcPr>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(1.3.5.1, stk. 3)</w:t>
            </w:r>
          </w:p>
          <w:p w:rsidR="00694692" w:rsidRPr="004456F3" w:rsidRDefault="00BE1F85"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BE1F85">
              <w:rPr>
                <w:rFonts w:ascii="Verdana" w:eastAsia="Times New Roman" w:hAnsi="Verdana" w:cs="Times New Roman"/>
                <w:bCs/>
                <w:color w:val="000000"/>
                <w:sz w:val="20"/>
                <w:szCs w:val="20"/>
                <w:u w:val="single"/>
                <w:lang w:eastAsia="da-DK"/>
              </w:rPr>
              <w:t>Meddelelsen</w:t>
            </w:r>
            <w:r>
              <w:rPr>
                <w:rFonts w:ascii="Verdana" w:eastAsia="Times New Roman" w:hAnsi="Verdana" w:cs="Times New Roman"/>
                <w:bCs/>
                <w:color w:val="000000"/>
                <w:sz w:val="20"/>
                <w:szCs w:val="20"/>
                <w:lang w:eastAsia="da-DK"/>
              </w:rPr>
              <w:t xml:space="preserve"> </w:t>
            </w:r>
            <w:r w:rsidR="00694692" w:rsidRPr="00BE1F85">
              <w:rPr>
                <w:rFonts w:ascii="Verdana" w:eastAsia="Times New Roman" w:hAnsi="Verdana" w:cs="Times New Roman"/>
                <w:bCs/>
                <w:color w:val="000000"/>
                <w:sz w:val="20"/>
                <w:szCs w:val="20"/>
                <w:lang w:eastAsia="da-DK"/>
              </w:rPr>
              <w:t>til</w:t>
            </w:r>
            <w:r w:rsidR="00694692" w:rsidRPr="00694692">
              <w:rPr>
                <w:rFonts w:ascii="Verdana" w:eastAsia="Times New Roman" w:hAnsi="Verdana" w:cs="Times New Roman"/>
                <w:bCs/>
                <w:color w:val="000000"/>
                <w:sz w:val="20"/>
                <w:szCs w:val="20"/>
                <w:lang w:eastAsia="da-DK"/>
              </w:rPr>
              <w:t xml:space="preserve"> kommunalbestyrelsen, hvor den transportable konstruktion anvendes af mere end 150 personer, skal ske uanset, om der er krav om byggetilladelse eller certificering.</w:t>
            </w:r>
            <w:r>
              <w:rPr>
                <w:rFonts w:ascii="Verdana" w:eastAsia="Times New Roman" w:hAnsi="Verdana" w:cs="Times New Roman"/>
                <w:bCs/>
                <w:color w:val="000000"/>
                <w:sz w:val="20"/>
                <w:szCs w:val="20"/>
                <w:lang w:eastAsia="da-DK"/>
              </w:rPr>
              <w:t xml:space="preserve"> </w:t>
            </w:r>
            <w:bookmarkStart w:id="1" w:name="_GoBack"/>
            <w:r w:rsidRPr="004456F3">
              <w:rPr>
                <w:rFonts w:ascii="Verdana" w:eastAsia="Times New Roman" w:hAnsi="Verdana" w:cs="Times New Roman"/>
                <w:bCs/>
                <w:color w:val="000000"/>
                <w:sz w:val="20"/>
                <w:szCs w:val="20"/>
                <w:lang w:eastAsia="da-DK"/>
              </w:rPr>
              <w:t>Meddelelsen til kommunalbestyrelsen skal sikre, at beredskabet, på baggrund af kommunalbestyrelsens orientering, får besked om opstillingen af den transportable konstruktion.</w:t>
            </w:r>
          </w:p>
          <w:bookmarkEnd w:id="1"/>
          <w:p w:rsidR="00BE1F85" w:rsidRPr="00694692" w:rsidRDefault="00BE1F85"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p>
        </w:tc>
      </w:tr>
      <w:tr w:rsidR="00694692" w:rsidRPr="00694692" w:rsidTr="008669D4">
        <w:trPr>
          <w:gridBefore w:val="3"/>
          <w:gridAfter w:val="1"/>
          <w:wBefore w:w="350" w:type="pct"/>
          <w:wAfter w:w="33" w:type="pct"/>
          <w:tblCellSpacing w:w="0" w:type="dxa"/>
        </w:trPr>
        <w:tc>
          <w:tcPr>
            <w:tcW w:w="2277" w:type="pct"/>
            <w:gridSpan w:val="2"/>
            <w:tcBorders>
              <w:bottom w:val="nil"/>
            </w:tcBorders>
            <w:hideMark/>
          </w:tcPr>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bookmarkStart w:id="2" w:name="stk4"/>
            <w:bookmarkEnd w:id="2"/>
            <w:r w:rsidRPr="00694692">
              <w:rPr>
                <w:rFonts w:ascii="Verdana" w:eastAsia="Times New Roman" w:hAnsi="Verdana" w:cs="Times New Roman"/>
                <w:bCs/>
                <w:color w:val="000000"/>
                <w:sz w:val="20"/>
                <w:szCs w:val="20"/>
                <w:lang w:eastAsia="da-DK"/>
              </w:rPr>
              <w:t>Stk. 4</w:t>
            </w:r>
          </w:p>
          <w:p w:rsidR="006B206C" w:rsidRPr="00694692" w:rsidRDefault="00694692" w:rsidP="006B206C">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 xml:space="preserve">Transportable telte og konstruktioner er alene omfattet af reglerne i </w:t>
            </w:r>
            <w:r w:rsidRPr="00694692">
              <w:rPr>
                <w:rFonts w:ascii="Verdana" w:eastAsia="Times New Roman" w:hAnsi="Verdana" w:cs="Times New Roman"/>
                <w:b/>
                <w:bCs/>
                <w:color w:val="000000"/>
                <w:sz w:val="20"/>
                <w:szCs w:val="20"/>
                <w:lang w:eastAsia="da-DK"/>
              </w:rPr>
              <w:t>kap. 3.2.1, kap. 4.1-4.3 og kap. 5</w:t>
            </w:r>
            <w:r w:rsidRPr="00694692">
              <w:rPr>
                <w:rFonts w:ascii="Verdana" w:eastAsia="Times New Roman" w:hAnsi="Verdana" w:cs="Times New Roman"/>
                <w:bCs/>
                <w:color w:val="000000"/>
                <w:sz w:val="20"/>
                <w:szCs w:val="20"/>
                <w:lang w:eastAsia="da-DK"/>
              </w:rPr>
              <w:t>, der er relevante i forhold til den konkrete konstruktion.</w:t>
            </w:r>
          </w:p>
          <w:p w:rsidR="00C4212D" w:rsidRPr="00694692" w:rsidRDefault="00C4212D"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p>
        </w:tc>
        <w:tc>
          <w:tcPr>
            <w:tcW w:w="2340" w:type="pct"/>
            <w:tcBorders>
              <w:bottom w:val="nil"/>
            </w:tcBorders>
            <w:hideMark/>
          </w:tcPr>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(1.3.5.1, stk. 4)</w:t>
            </w:r>
          </w:p>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Transportable telte og konstruktioner er alene omfattet af de bestemmelser, der står nævnt i bestemmelsen. I byggesagsbehandlingen skal kommunen derfor kun påse, at disse bestemmelser er overholdt. Telte med et samlet areal på 50 m2 og mindre er ikke omfattet af reglerne i kap. 4, jf. kap. 4.1, stk. 7. Det er alene de bestemmelser, der er relevante i forhold til det konkrete telts eller den konkrete konstruktions udformning og anvendelse, der skal overholdes.</w:t>
            </w:r>
          </w:p>
        </w:tc>
      </w:tr>
      <w:tr w:rsidR="00694692" w:rsidRPr="00694692" w:rsidTr="008669D4">
        <w:trPr>
          <w:gridBefore w:val="3"/>
          <w:gridAfter w:val="1"/>
          <w:wBefore w:w="350" w:type="pct"/>
          <w:wAfter w:w="33" w:type="pct"/>
          <w:tblCellSpacing w:w="0" w:type="dxa"/>
        </w:trPr>
        <w:tc>
          <w:tcPr>
            <w:tcW w:w="2277" w:type="pct"/>
            <w:gridSpan w:val="2"/>
            <w:tcBorders>
              <w:bottom w:val="nil"/>
            </w:tcBorders>
            <w:hideMark/>
          </w:tcPr>
          <w:p w:rsidR="008F530F" w:rsidRDefault="008F530F"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bookmarkStart w:id="3" w:name="stk5"/>
            <w:bookmarkEnd w:id="3"/>
          </w:p>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Stk. 5</w:t>
            </w:r>
          </w:p>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 xml:space="preserve">Telte og konstruktioner, der opstilles med en varighed på over 6 uger på den samme placering, må uanset bestemmelsen i stk. 2, ikke opstilles uden forudgående byggetilladelse fra kommunalbestyrelsen. Opstillingen er i disse tilfælde også omfattet af kap. 2. Er en konstruktion, der ønskes opstillet med en varighed på over 6 uger, certificeret, kan kommunen lægge certificeringen til grund i den tekniske del af byggesagsbehandlingen. Herefter vil kommunen alene skulle </w:t>
            </w:r>
            <w:proofErr w:type="spellStart"/>
            <w:r w:rsidRPr="00694692">
              <w:rPr>
                <w:rFonts w:ascii="Verdana" w:eastAsia="Times New Roman" w:hAnsi="Verdana" w:cs="Times New Roman"/>
                <w:bCs/>
                <w:color w:val="000000"/>
                <w:sz w:val="20"/>
                <w:szCs w:val="20"/>
                <w:lang w:eastAsia="da-DK"/>
              </w:rPr>
              <w:t>byggesagsbehandle</w:t>
            </w:r>
            <w:proofErr w:type="spellEnd"/>
            <w:r w:rsidRPr="00694692">
              <w:rPr>
                <w:rFonts w:ascii="Verdana" w:eastAsia="Times New Roman" w:hAnsi="Verdana" w:cs="Times New Roman"/>
                <w:bCs/>
                <w:color w:val="000000"/>
                <w:sz w:val="20"/>
                <w:szCs w:val="20"/>
                <w:lang w:eastAsia="da-DK"/>
              </w:rPr>
              <w:t xml:space="preserve"> de bebyggelsesregulerende forhold.</w:t>
            </w:r>
          </w:p>
        </w:tc>
        <w:tc>
          <w:tcPr>
            <w:tcW w:w="2340" w:type="pct"/>
            <w:tcBorders>
              <w:bottom w:val="nil"/>
            </w:tcBorders>
            <w:hideMark/>
          </w:tcPr>
          <w:p w:rsidR="008F530F" w:rsidRDefault="008F530F"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p>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(1.3.5.1, stk. 5)</w:t>
            </w:r>
          </w:p>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Telte og konstruktioner, der opstilles samme sted for en periode på over 6 uger, betragtes som varige konstruktioner. Disse varige konstruktioner er underlagt kravet om byggetilladelse på lige fod med andre faste og permanente bygninger, og de kan derfor ikke opsættes på grundlag af en certificering i henhold til bekendtgørelse om certificeringsordning for transportable telte og konstruktioner.</w:t>
            </w:r>
          </w:p>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Såfremt teltet eller konstruktionen opstilles uden forudgående viden om, at teltet eller konstruktionen skal være opstillet på den samme placering i mere end 6 uger, vil teltet eller konstruktionen blive omfattet af kravet om byggetilladelse, når den tidsmæssige grænse på 6 uger er nået.</w:t>
            </w:r>
          </w:p>
        </w:tc>
      </w:tr>
      <w:tr w:rsidR="008F530F" w:rsidRPr="00694692" w:rsidTr="008669D4">
        <w:trPr>
          <w:gridBefore w:val="3"/>
          <w:gridAfter w:val="1"/>
          <w:wBefore w:w="350" w:type="pct"/>
          <w:wAfter w:w="33" w:type="pct"/>
          <w:tblCellSpacing w:w="0" w:type="dxa"/>
        </w:trPr>
        <w:tc>
          <w:tcPr>
            <w:tcW w:w="2277" w:type="pct"/>
            <w:gridSpan w:val="2"/>
            <w:tcBorders>
              <w:bottom w:val="nil"/>
            </w:tcBorders>
          </w:tcPr>
          <w:p w:rsidR="008F530F" w:rsidRDefault="008F530F"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p>
        </w:tc>
        <w:tc>
          <w:tcPr>
            <w:tcW w:w="2340" w:type="pct"/>
            <w:tcBorders>
              <w:bottom w:val="nil"/>
            </w:tcBorders>
          </w:tcPr>
          <w:p w:rsidR="008F530F" w:rsidRDefault="008F530F"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p>
        </w:tc>
      </w:tr>
      <w:tr w:rsidR="00694692" w:rsidRPr="00694692" w:rsidTr="008669D4">
        <w:trPr>
          <w:gridBefore w:val="3"/>
          <w:gridAfter w:val="1"/>
          <w:wBefore w:w="350" w:type="pct"/>
          <w:wAfter w:w="33" w:type="pct"/>
          <w:tblCellSpacing w:w="0" w:type="dxa"/>
        </w:trPr>
        <w:tc>
          <w:tcPr>
            <w:tcW w:w="2277" w:type="pct"/>
            <w:gridSpan w:val="2"/>
            <w:tcBorders>
              <w:bottom w:val="nil"/>
            </w:tcBorders>
            <w:hideMark/>
          </w:tcPr>
          <w:p w:rsidR="00BE1F85" w:rsidRDefault="00BE1F85"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bookmarkStart w:id="4" w:name="stk6"/>
            <w:bookmarkEnd w:id="4"/>
          </w:p>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Stk. 6</w:t>
            </w:r>
          </w:p>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 xml:space="preserve">De i </w:t>
            </w:r>
            <w:r w:rsidRPr="00694692">
              <w:rPr>
                <w:rFonts w:ascii="Verdana" w:eastAsia="Times New Roman" w:hAnsi="Verdana" w:cs="Times New Roman"/>
                <w:b/>
                <w:bCs/>
                <w:color w:val="000000"/>
                <w:sz w:val="20"/>
                <w:szCs w:val="20"/>
                <w:lang w:eastAsia="da-DK"/>
              </w:rPr>
              <w:t>bilag 2, skema 2</w:t>
            </w:r>
            <w:r w:rsidRPr="00694692">
              <w:rPr>
                <w:rFonts w:ascii="Verdana" w:eastAsia="Times New Roman" w:hAnsi="Verdana" w:cs="Times New Roman"/>
                <w:bCs/>
                <w:color w:val="000000"/>
                <w:sz w:val="20"/>
                <w:szCs w:val="20"/>
                <w:lang w:eastAsia="da-DK"/>
              </w:rPr>
              <w:t xml:space="preserve">, nævnte telte og konstruktioner kan opstilles uden byggetilladelse eller certificering. De i bilag 2, skema 2 nævnte telte og konstruktioner skal dog leve op til reglerne i </w:t>
            </w:r>
            <w:r w:rsidRPr="00694692">
              <w:rPr>
                <w:rFonts w:ascii="Verdana" w:eastAsia="Times New Roman" w:hAnsi="Verdana" w:cs="Times New Roman"/>
                <w:b/>
                <w:bCs/>
                <w:color w:val="000000"/>
                <w:sz w:val="20"/>
                <w:szCs w:val="20"/>
                <w:lang w:eastAsia="da-DK"/>
              </w:rPr>
              <w:t>kap. 3.2.1, kap. 4.1-4.3 og kap. 5</w:t>
            </w:r>
            <w:r w:rsidRPr="00694692">
              <w:rPr>
                <w:rFonts w:ascii="Verdana" w:eastAsia="Times New Roman" w:hAnsi="Verdana" w:cs="Times New Roman"/>
                <w:bCs/>
                <w:color w:val="000000"/>
                <w:sz w:val="20"/>
                <w:szCs w:val="20"/>
                <w:lang w:eastAsia="da-DK"/>
              </w:rPr>
              <w:t>, der er relevante i forhold til den konkrete konstruktion.</w:t>
            </w:r>
          </w:p>
        </w:tc>
        <w:tc>
          <w:tcPr>
            <w:tcW w:w="2340" w:type="pct"/>
            <w:tcBorders>
              <w:bottom w:val="nil"/>
            </w:tcBorders>
            <w:hideMark/>
          </w:tcPr>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p>
        </w:tc>
      </w:tr>
      <w:tr w:rsidR="00694692" w:rsidRPr="00694692" w:rsidTr="008669D4">
        <w:trPr>
          <w:gridBefore w:val="3"/>
          <w:gridAfter w:val="1"/>
          <w:wBefore w:w="350" w:type="pct"/>
          <w:wAfter w:w="33" w:type="pct"/>
          <w:tblCellSpacing w:w="0" w:type="dxa"/>
        </w:trPr>
        <w:tc>
          <w:tcPr>
            <w:tcW w:w="2277" w:type="pct"/>
            <w:gridSpan w:val="2"/>
            <w:tcBorders>
              <w:bottom w:val="nil"/>
            </w:tcBorders>
            <w:hideMark/>
          </w:tcPr>
          <w:p w:rsidR="008F530F" w:rsidRDefault="008F530F"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bookmarkStart w:id="5" w:name="stk7"/>
            <w:bookmarkEnd w:id="5"/>
          </w:p>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Stk. 7</w:t>
            </w:r>
          </w:p>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Ved privat brug i bilag 2 forstås telte, der ejes af en privatperson, og som udelukkende anvendes til privat brug af denne privatperson.</w:t>
            </w:r>
          </w:p>
        </w:tc>
        <w:tc>
          <w:tcPr>
            <w:tcW w:w="2340" w:type="pct"/>
            <w:tcBorders>
              <w:bottom w:val="nil"/>
            </w:tcBorders>
            <w:hideMark/>
          </w:tcPr>
          <w:p w:rsidR="008F530F" w:rsidRDefault="008F530F"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p>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(1.3.5.1, stk. 7)</w:t>
            </w:r>
          </w:p>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Det afgørende for, om et telt er privat, beror således dels på ejerforholdet, dels på den konkrete anvendelse af teltet. Telte til privat brug er således telte, hvor den privatperson, der ejer teltet, også rent faktisk selv bruger teltet. Telte, der udlånes – uanset om udlån sker mod vederlag – er ikke omfattet af definitionen "privat", idet teltet da ikke anvendes af ejeren af teltet.</w:t>
            </w:r>
          </w:p>
        </w:tc>
      </w:tr>
      <w:tr w:rsidR="00694692" w:rsidRPr="00694692" w:rsidTr="008669D4">
        <w:trPr>
          <w:gridBefore w:val="3"/>
          <w:gridAfter w:val="1"/>
          <w:wBefore w:w="350" w:type="pct"/>
          <w:wAfter w:w="33" w:type="pct"/>
          <w:tblCellSpacing w:w="0" w:type="dxa"/>
        </w:trPr>
        <w:tc>
          <w:tcPr>
            <w:tcW w:w="2277" w:type="pct"/>
            <w:gridSpan w:val="2"/>
            <w:tcBorders>
              <w:bottom w:val="nil"/>
            </w:tcBorders>
            <w:hideMark/>
          </w:tcPr>
          <w:p w:rsidR="008F530F" w:rsidRDefault="008F530F"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bookmarkStart w:id="6" w:name="stk8"/>
            <w:bookmarkEnd w:id="6"/>
          </w:p>
          <w:p w:rsidR="008669D4" w:rsidRDefault="008669D4"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p>
          <w:p w:rsidR="008669D4" w:rsidRDefault="008669D4"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p>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Stk. 8</w:t>
            </w:r>
          </w:p>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Raftekonstruktioner, der opstilles midlertidigt, er alene omfattet af byggeloven efter kommunalbestyrelsens konkrete vurdering, jf. byggelovens § 2, stk. 3. Raftekonstruktioner, der opstilles midlertidigt, er derfor ikke omfattet af bilag 2.</w:t>
            </w:r>
          </w:p>
        </w:tc>
        <w:tc>
          <w:tcPr>
            <w:tcW w:w="2340" w:type="pct"/>
            <w:tcBorders>
              <w:bottom w:val="nil"/>
            </w:tcBorders>
            <w:hideMark/>
          </w:tcPr>
          <w:p w:rsidR="008669D4" w:rsidRDefault="008669D4"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p>
          <w:p w:rsidR="008669D4" w:rsidRDefault="008669D4"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p>
          <w:p w:rsidR="008669D4" w:rsidRDefault="008669D4"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p>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(1.3.5.1, stk. 8)</w:t>
            </w:r>
          </w:p>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Raftekonstruktioner, der opstilles midlertidigt, er alene omfattet af byggeloven efter en konkret vurdering. Midlertidige raftekonstruktioner kan f.eks. være tårne, tribuner eller lignende, der opstilles i forbindelse med afvikling af arrangementer afholdt af spejderorganisationer eller lignende organiserede udendørs aktiviteter.</w:t>
            </w:r>
          </w:p>
        </w:tc>
      </w:tr>
      <w:tr w:rsidR="00694692" w:rsidRPr="00694692" w:rsidTr="008669D4">
        <w:trPr>
          <w:gridBefore w:val="3"/>
          <w:gridAfter w:val="1"/>
          <w:wBefore w:w="350" w:type="pct"/>
          <w:wAfter w:w="33" w:type="pct"/>
          <w:tblCellSpacing w:w="0" w:type="dxa"/>
        </w:trPr>
        <w:tc>
          <w:tcPr>
            <w:tcW w:w="2277" w:type="pct"/>
            <w:gridSpan w:val="2"/>
            <w:tcBorders>
              <w:bottom w:val="nil"/>
            </w:tcBorders>
            <w:hideMark/>
          </w:tcPr>
          <w:p w:rsidR="008F530F" w:rsidRDefault="008F530F"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bookmarkStart w:id="7" w:name="stk9"/>
            <w:bookmarkEnd w:id="7"/>
          </w:p>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 xml:space="preserve">Stk. 9 </w:t>
            </w:r>
          </w:p>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r w:rsidRPr="00694692">
              <w:rPr>
                <w:rFonts w:ascii="Verdana" w:eastAsia="Times New Roman" w:hAnsi="Verdana" w:cs="Times New Roman"/>
                <w:bCs/>
                <w:color w:val="000000"/>
                <w:sz w:val="20"/>
                <w:szCs w:val="20"/>
                <w:lang w:eastAsia="da-DK"/>
              </w:rPr>
              <w:t>Konstruktioner omfattet af dette kapitel skal ikke færdigmeldes til kommunalbestyrelsen og kan tages i brug uden ibrugtagningstilladelse.</w:t>
            </w:r>
          </w:p>
        </w:tc>
        <w:tc>
          <w:tcPr>
            <w:tcW w:w="2340" w:type="pct"/>
            <w:tcBorders>
              <w:bottom w:val="nil"/>
            </w:tcBorders>
            <w:hideMark/>
          </w:tcPr>
          <w:p w:rsidR="00694692" w:rsidRPr="00694692" w:rsidRDefault="00694692" w:rsidP="00694692">
            <w:pPr>
              <w:spacing w:before="100" w:beforeAutospacing="1" w:after="100" w:afterAutospacing="1" w:line="240" w:lineRule="auto"/>
              <w:outlineLvl w:val="2"/>
              <w:rPr>
                <w:rFonts w:ascii="Verdana" w:eastAsia="Times New Roman" w:hAnsi="Verdana" w:cs="Times New Roman"/>
                <w:bCs/>
                <w:color w:val="000000"/>
                <w:sz w:val="20"/>
                <w:szCs w:val="20"/>
                <w:lang w:eastAsia="da-DK"/>
              </w:rPr>
            </w:pPr>
          </w:p>
        </w:tc>
      </w:tr>
      <w:tr w:rsidR="00BF632C" w:rsidRPr="00BF632C" w:rsidTr="008669D4">
        <w:trPr>
          <w:tblCellSpacing w:w="0" w:type="dxa"/>
        </w:trPr>
        <w:tc>
          <w:tcPr>
            <w:tcW w:w="2234" w:type="pct"/>
            <w:gridSpan w:val="4"/>
            <w:tcBorders>
              <w:bottom w:val="nil"/>
            </w:tcBorders>
          </w:tcPr>
          <w:p w:rsidR="00BF632C" w:rsidRPr="00BF632C" w:rsidRDefault="00BF632C" w:rsidP="00BF632C">
            <w:pPr>
              <w:shd w:val="clear" w:color="auto" w:fill="FFFFFF"/>
              <w:spacing w:after="0" w:line="240" w:lineRule="auto"/>
              <w:rPr>
                <w:rFonts w:ascii="Verdana" w:eastAsia="Times New Roman" w:hAnsi="Verdana" w:cs="Times New Roman"/>
                <w:color w:val="333333"/>
                <w:sz w:val="19"/>
                <w:szCs w:val="19"/>
                <w:lang w:eastAsia="da-DK"/>
              </w:rPr>
            </w:pPr>
          </w:p>
        </w:tc>
        <w:tc>
          <w:tcPr>
            <w:tcW w:w="2766" w:type="pct"/>
            <w:gridSpan w:val="3"/>
            <w:tcBorders>
              <w:bottom w:val="nil"/>
            </w:tcBorders>
          </w:tcPr>
          <w:p w:rsidR="00BF632C" w:rsidRPr="00BF632C" w:rsidRDefault="00BF632C" w:rsidP="00BF632C">
            <w:pPr>
              <w:shd w:val="clear" w:color="auto" w:fill="FFFFFF"/>
              <w:spacing w:after="0" w:line="240" w:lineRule="auto"/>
              <w:rPr>
                <w:rFonts w:ascii="Verdana" w:eastAsia="Times New Roman" w:hAnsi="Verdana" w:cs="Times New Roman"/>
                <w:color w:val="333333"/>
                <w:sz w:val="19"/>
                <w:szCs w:val="19"/>
                <w:lang w:eastAsia="da-DK"/>
              </w:rPr>
            </w:pPr>
          </w:p>
        </w:tc>
      </w:tr>
      <w:tr w:rsidR="002F75A7" w:rsidRPr="002F75A7" w:rsidTr="008669D4">
        <w:trPr>
          <w:gridAfter w:val="5"/>
          <w:wAfter w:w="4957" w:type="pct"/>
          <w:tblCellSpacing w:w="0" w:type="dxa"/>
        </w:trPr>
        <w:tc>
          <w:tcPr>
            <w:tcW w:w="24" w:type="pct"/>
            <w:tcBorders>
              <w:bottom w:val="nil"/>
            </w:tcBorders>
          </w:tcPr>
          <w:p w:rsidR="002F75A7" w:rsidRPr="002F75A7" w:rsidRDefault="002F75A7" w:rsidP="002F75A7">
            <w:pPr>
              <w:shd w:val="clear" w:color="auto" w:fill="FFFFFF"/>
              <w:spacing w:after="0" w:line="240" w:lineRule="auto"/>
              <w:ind w:left="110"/>
              <w:rPr>
                <w:rFonts w:ascii="Verdana" w:eastAsia="Times New Roman" w:hAnsi="Verdana" w:cs="Times New Roman"/>
                <w:color w:val="333333"/>
                <w:sz w:val="19"/>
                <w:szCs w:val="19"/>
                <w:lang w:eastAsia="da-DK"/>
              </w:rPr>
            </w:pPr>
          </w:p>
        </w:tc>
        <w:tc>
          <w:tcPr>
            <w:tcW w:w="19" w:type="pct"/>
            <w:tcBorders>
              <w:bottom w:val="nil"/>
            </w:tcBorders>
          </w:tcPr>
          <w:p w:rsidR="002F75A7" w:rsidRPr="002F75A7" w:rsidRDefault="002F75A7" w:rsidP="002F75A7">
            <w:pPr>
              <w:shd w:val="clear" w:color="auto" w:fill="FFFFFF"/>
              <w:spacing w:after="0" w:line="240" w:lineRule="auto"/>
              <w:rPr>
                <w:rFonts w:ascii="Verdana" w:eastAsia="Times New Roman" w:hAnsi="Verdana" w:cs="Times New Roman"/>
                <w:color w:val="333333"/>
                <w:sz w:val="19"/>
                <w:szCs w:val="19"/>
                <w:lang w:eastAsia="da-DK"/>
              </w:rPr>
            </w:pPr>
          </w:p>
        </w:tc>
      </w:tr>
      <w:tr w:rsidR="002F75A7" w:rsidRPr="002F75A7" w:rsidTr="008669D4">
        <w:trPr>
          <w:gridAfter w:val="5"/>
          <w:wAfter w:w="4957" w:type="pct"/>
          <w:tblCellSpacing w:w="0" w:type="dxa"/>
        </w:trPr>
        <w:tc>
          <w:tcPr>
            <w:tcW w:w="24" w:type="pct"/>
            <w:tcBorders>
              <w:bottom w:val="nil"/>
            </w:tcBorders>
          </w:tcPr>
          <w:p w:rsidR="002F75A7" w:rsidRPr="002F75A7" w:rsidRDefault="002F75A7" w:rsidP="002F75A7">
            <w:pPr>
              <w:shd w:val="clear" w:color="auto" w:fill="FFFFFF"/>
              <w:spacing w:after="0" w:line="240" w:lineRule="auto"/>
              <w:rPr>
                <w:rFonts w:ascii="Verdana" w:eastAsia="Times New Roman" w:hAnsi="Verdana" w:cs="Times New Roman"/>
                <w:color w:val="333333"/>
                <w:sz w:val="19"/>
                <w:szCs w:val="19"/>
                <w:lang w:eastAsia="da-DK"/>
              </w:rPr>
            </w:pPr>
            <w:bookmarkStart w:id="8" w:name="stk2"/>
            <w:bookmarkEnd w:id="8"/>
          </w:p>
        </w:tc>
        <w:tc>
          <w:tcPr>
            <w:tcW w:w="19" w:type="pct"/>
            <w:tcBorders>
              <w:bottom w:val="nil"/>
            </w:tcBorders>
          </w:tcPr>
          <w:p w:rsidR="002F75A7" w:rsidRPr="002F75A7" w:rsidRDefault="002F75A7" w:rsidP="002F75A7">
            <w:pPr>
              <w:shd w:val="clear" w:color="auto" w:fill="FFFFFF"/>
              <w:spacing w:after="0" w:line="240" w:lineRule="auto"/>
              <w:rPr>
                <w:rFonts w:ascii="Verdana" w:eastAsia="Times New Roman" w:hAnsi="Verdana" w:cs="Times New Roman"/>
                <w:color w:val="333333"/>
                <w:sz w:val="19"/>
                <w:szCs w:val="19"/>
                <w:lang w:eastAsia="da-DK"/>
              </w:rPr>
            </w:pPr>
          </w:p>
        </w:tc>
      </w:tr>
    </w:tbl>
    <w:p w:rsidR="00846089" w:rsidRDefault="00846089" w:rsidP="00BF632C">
      <w:pPr>
        <w:pStyle w:val="Default"/>
        <w:jc w:val="center"/>
        <w:rPr>
          <w:b/>
          <w:bCs/>
          <w:sz w:val="36"/>
          <w:szCs w:val="36"/>
        </w:rPr>
      </w:pPr>
    </w:p>
    <w:p w:rsidR="00846089" w:rsidRDefault="00846089" w:rsidP="00BF632C">
      <w:pPr>
        <w:pStyle w:val="Default"/>
        <w:jc w:val="center"/>
        <w:rPr>
          <w:b/>
          <w:bCs/>
          <w:sz w:val="36"/>
          <w:szCs w:val="36"/>
        </w:rPr>
      </w:pPr>
    </w:p>
    <w:p w:rsidR="00BF632C" w:rsidRDefault="00BF632C" w:rsidP="002F75A7"/>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834"/>
        <w:gridCol w:w="4834"/>
      </w:tblGrid>
      <w:tr w:rsidR="00C4212D" w:rsidRPr="00C4212D" w:rsidTr="008669D4">
        <w:trPr>
          <w:tblCellSpacing w:w="0" w:type="dxa"/>
        </w:trPr>
        <w:tc>
          <w:tcPr>
            <w:tcW w:w="2500" w:type="pct"/>
            <w:tcBorders>
              <w:bottom w:val="nil"/>
            </w:tcBorders>
            <w:hideMark/>
          </w:tcPr>
          <w:p w:rsidR="00C4212D" w:rsidRPr="00C4212D" w:rsidRDefault="00C4212D" w:rsidP="00C4212D">
            <w:pPr>
              <w:spacing w:before="100" w:beforeAutospacing="1" w:after="100" w:afterAutospacing="1" w:line="240" w:lineRule="auto"/>
              <w:outlineLvl w:val="2"/>
              <w:rPr>
                <w:rFonts w:ascii="Verdana" w:eastAsia="Times New Roman" w:hAnsi="Verdana" w:cs="Times New Roman"/>
                <w:b/>
                <w:bCs/>
                <w:color w:val="000000"/>
                <w:sz w:val="28"/>
                <w:szCs w:val="28"/>
                <w:lang w:eastAsia="da-DK"/>
              </w:rPr>
            </w:pPr>
            <w:r>
              <w:rPr>
                <w:rFonts w:ascii="Verdana" w:eastAsia="Times New Roman" w:hAnsi="Verdana" w:cs="Times New Roman"/>
                <w:b/>
                <w:bCs/>
                <w:color w:val="000000"/>
                <w:sz w:val="28"/>
                <w:szCs w:val="28"/>
                <w:lang w:eastAsia="da-DK"/>
              </w:rPr>
              <w:t>Kap. 5.1</w:t>
            </w:r>
          </w:p>
          <w:p w:rsidR="00C4212D" w:rsidRPr="00C4212D" w:rsidRDefault="00C4212D" w:rsidP="00C4212D">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r w:rsidRPr="00C4212D">
              <w:rPr>
                <w:rFonts w:ascii="Verdana" w:eastAsia="Times New Roman" w:hAnsi="Verdana" w:cs="Times New Roman"/>
                <w:b/>
                <w:bCs/>
                <w:color w:val="000000"/>
                <w:sz w:val="20"/>
                <w:szCs w:val="20"/>
                <w:lang w:eastAsia="da-DK"/>
              </w:rPr>
              <w:t xml:space="preserve">Stk. 4 </w:t>
            </w:r>
          </w:p>
          <w:p w:rsidR="00C4212D" w:rsidRPr="00C4212D" w:rsidRDefault="00C4212D" w:rsidP="00C4212D">
            <w:pPr>
              <w:shd w:val="clear" w:color="auto" w:fill="FFFFFF"/>
              <w:spacing w:after="0" w:line="240" w:lineRule="auto"/>
              <w:rPr>
                <w:rFonts w:ascii="Verdana" w:eastAsia="Times New Roman" w:hAnsi="Verdana" w:cs="Times New Roman"/>
                <w:color w:val="333333"/>
                <w:sz w:val="19"/>
                <w:szCs w:val="19"/>
                <w:lang w:eastAsia="da-DK"/>
              </w:rPr>
            </w:pPr>
            <w:r w:rsidRPr="00C4212D">
              <w:rPr>
                <w:rFonts w:ascii="Verdana" w:eastAsia="Times New Roman" w:hAnsi="Verdana" w:cs="Times New Roman"/>
                <w:color w:val="333333"/>
                <w:sz w:val="19"/>
                <w:szCs w:val="19"/>
                <w:lang w:eastAsia="da-DK"/>
              </w:rPr>
              <w:t>Transportable konstruktioners indretning og drift skal ske på en sådan måde, at der sikres tilfredsstillende sikkerhed i tilfælde af brand.</w:t>
            </w:r>
          </w:p>
        </w:tc>
        <w:tc>
          <w:tcPr>
            <w:tcW w:w="2500" w:type="pct"/>
            <w:tcBorders>
              <w:bottom w:val="nil"/>
            </w:tcBorders>
            <w:hideMark/>
          </w:tcPr>
          <w:p w:rsidR="00C4212D" w:rsidRDefault="00C4212D" w:rsidP="00C4212D">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p>
          <w:p w:rsidR="00C4212D" w:rsidRPr="00C4212D" w:rsidRDefault="00C4212D" w:rsidP="00C4212D">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r w:rsidRPr="00C4212D">
              <w:rPr>
                <w:rFonts w:ascii="Verdana" w:eastAsia="Times New Roman" w:hAnsi="Verdana" w:cs="Times New Roman"/>
                <w:b/>
                <w:bCs/>
                <w:color w:val="000000"/>
                <w:sz w:val="20"/>
                <w:szCs w:val="20"/>
                <w:lang w:eastAsia="da-DK"/>
              </w:rPr>
              <w:t>(5.1, stk. 4)</w:t>
            </w:r>
          </w:p>
          <w:p w:rsidR="00C4212D" w:rsidRPr="00C4212D" w:rsidRDefault="00C4212D" w:rsidP="00C4212D">
            <w:pPr>
              <w:shd w:val="clear" w:color="auto" w:fill="FFFFFF"/>
              <w:spacing w:after="0" w:line="240" w:lineRule="auto"/>
              <w:rPr>
                <w:rFonts w:ascii="Verdana" w:eastAsia="Times New Roman" w:hAnsi="Verdana" w:cs="Times New Roman"/>
                <w:color w:val="333333"/>
                <w:sz w:val="19"/>
                <w:szCs w:val="19"/>
                <w:lang w:eastAsia="da-DK"/>
              </w:rPr>
            </w:pPr>
            <w:r w:rsidRPr="00C4212D">
              <w:rPr>
                <w:rFonts w:ascii="Verdana" w:eastAsia="Times New Roman" w:hAnsi="Verdana" w:cs="Times New Roman"/>
                <w:color w:val="333333"/>
                <w:sz w:val="19"/>
                <w:szCs w:val="19"/>
                <w:lang w:eastAsia="da-DK"/>
              </w:rPr>
              <w:t>Bestemmelsen indebærer, at visse driftsmæssige foranstaltninger skal være opfyldt, når man bruger transportable konstruktioner. Der henvises til vejledningen om certificeringsordning og byggesagsbehandling af transportable telte og konstruktioner, der indeholder eksempler til opfyldelse af bestemmelsen.</w:t>
            </w:r>
          </w:p>
        </w:tc>
      </w:tr>
    </w:tbl>
    <w:p w:rsidR="00C4212D" w:rsidRPr="00C4212D" w:rsidRDefault="00C4212D" w:rsidP="002F75A7">
      <w:pPr>
        <w:rPr>
          <w:b/>
          <w:sz w:val="28"/>
          <w:szCs w:val="28"/>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834"/>
        <w:gridCol w:w="4834"/>
      </w:tblGrid>
      <w:tr w:rsidR="00C4212D" w:rsidRPr="00C4212D" w:rsidTr="00C4212D">
        <w:trPr>
          <w:tblCellSpacing w:w="0" w:type="dxa"/>
        </w:trPr>
        <w:tc>
          <w:tcPr>
            <w:tcW w:w="2500" w:type="pct"/>
            <w:tcBorders>
              <w:bottom w:val="nil"/>
            </w:tcBorders>
            <w:hideMark/>
          </w:tcPr>
          <w:p w:rsidR="00C4212D" w:rsidRPr="00C4212D" w:rsidRDefault="00C4212D" w:rsidP="00C4212D">
            <w:pPr>
              <w:spacing w:before="100" w:beforeAutospacing="1" w:after="100" w:afterAutospacing="1" w:line="240" w:lineRule="auto"/>
              <w:outlineLvl w:val="2"/>
              <w:rPr>
                <w:rFonts w:ascii="Verdana" w:eastAsia="Times New Roman" w:hAnsi="Verdana" w:cs="Times New Roman"/>
                <w:b/>
                <w:bCs/>
                <w:color w:val="000000"/>
                <w:sz w:val="28"/>
                <w:szCs w:val="28"/>
                <w:lang w:eastAsia="da-DK"/>
              </w:rPr>
            </w:pPr>
            <w:r>
              <w:rPr>
                <w:rFonts w:ascii="Verdana" w:eastAsia="Times New Roman" w:hAnsi="Verdana" w:cs="Times New Roman"/>
                <w:b/>
                <w:bCs/>
                <w:color w:val="000000"/>
                <w:sz w:val="28"/>
                <w:szCs w:val="28"/>
                <w:lang w:eastAsia="da-DK"/>
              </w:rPr>
              <w:t>Kap. 5.7</w:t>
            </w:r>
          </w:p>
          <w:p w:rsidR="00C4212D" w:rsidRPr="00C4212D" w:rsidRDefault="00C4212D" w:rsidP="00C4212D">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r w:rsidRPr="00C4212D">
              <w:rPr>
                <w:rFonts w:ascii="Verdana" w:eastAsia="Times New Roman" w:hAnsi="Verdana" w:cs="Times New Roman"/>
                <w:b/>
                <w:bCs/>
                <w:color w:val="000000"/>
                <w:sz w:val="20"/>
                <w:szCs w:val="20"/>
                <w:lang w:eastAsia="da-DK"/>
              </w:rPr>
              <w:t xml:space="preserve">Stk. 1 </w:t>
            </w:r>
          </w:p>
          <w:p w:rsidR="00C4212D" w:rsidRPr="00C4212D" w:rsidRDefault="00C4212D" w:rsidP="00C4212D">
            <w:pPr>
              <w:shd w:val="clear" w:color="auto" w:fill="FFFFFF"/>
              <w:spacing w:after="0" w:line="240" w:lineRule="auto"/>
              <w:rPr>
                <w:rFonts w:ascii="Verdana" w:eastAsia="Times New Roman" w:hAnsi="Verdana" w:cs="Times New Roman"/>
                <w:color w:val="333333"/>
                <w:sz w:val="19"/>
                <w:szCs w:val="19"/>
                <w:lang w:eastAsia="da-DK"/>
              </w:rPr>
            </w:pPr>
            <w:r w:rsidRPr="00C4212D">
              <w:rPr>
                <w:rFonts w:ascii="Verdana" w:eastAsia="Times New Roman" w:hAnsi="Verdana" w:cs="Times New Roman"/>
                <w:color w:val="333333"/>
                <w:sz w:val="19"/>
                <w:szCs w:val="19"/>
                <w:lang w:eastAsia="da-DK"/>
              </w:rPr>
              <w:t>Festival-, salgsområder og campingområder skal placeres, indrettes og bruges på en sådan måde, at en brand kan begrænses til det område, hvor branden er opstået. Spredning af brand og røg til andre områder, skal forhindres i den tid, som er nødvendig for evakuering og redningsberedskabets indsats.</w:t>
            </w:r>
          </w:p>
        </w:tc>
        <w:tc>
          <w:tcPr>
            <w:tcW w:w="2500" w:type="pct"/>
            <w:tcBorders>
              <w:bottom w:val="nil"/>
            </w:tcBorders>
            <w:hideMark/>
          </w:tcPr>
          <w:p w:rsidR="00C4212D" w:rsidRDefault="00C4212D" w:rsidP="00C4212D">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p>
          <w:p w:rsidR="00C4212D" w:rsidRPr="00C4212D" w:rsidRDefault="00C4212D" w:rsidP="00C4212D">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r w:rsidRPr="00C4212D">
              <w:rPr>
                <w:rFonts w:ascii="Verdana" w:eastAsia="Times New Roman" w:hAnsi="Verdana" w:cs="Times New Roman"/>
                <w:b/>
                <w:bCs/>
                <w:color w:val="000000"/>
                <w:sz w:val="20"/>
                <w:szCs w:val="20"/>
                <w:lang w:eastAsia="da-DK"/>
              </w:rPr>
              <w:t>5.7, stk. 1)</w:t>
            </w:r>
          </w:p>
          <w:p w:rsidR="00C4212D" w:rsidRPr="00C4212D" w:rsidRDefault="00C4212D" w:rsidP="00846089">
            <w:pPr>
              <w:shd w:val="clear" w:color="auto" w:fill="FFFFFF"/>
              <w:spacing w:after="0" w:line="240" w:lineRule="auto"/>
              <w:ind w:left="110"/>
              <w:rPr>
                <w:rFonts w:ascii="Verdana" w:eastAsia="Times New Roman" w:hAnsi="Verdana" w:cs="Times New Roman"/>
                <w:color w:val="333333"/>
                <w:sz w:val="19"/>
                <w:szCs w:val="19"/>
                <w:lang w:eastAsia="da-DK"/>
              </w:rPr>
            </w:pPr>
            <w:r w:rsidRPr="00C4212D">
              <w:rPr>
                <w:rFonts w:ascii="Verdana" w:eastAsia="Times New Roman" w:hAnsi="Verdana" w:cs="Times New Roman"/>
                <w:color w:val="333333"/>
                <w:sz w:val="19"/>
                <w:szCs w:val="19"/>
                <w:lang w:eastAsia="da-DK"/>
              </w:rPr>
              <w:t xml:space="preserve">Der henvises til </w:t>
            </w:r>
            <w:r w:rsidRPr="00C4212D">
              <w:rPr>
                <w:rFonts w:ascii="Verdana" w:eastAsia="Times New Roman" w:hAnsi="Verdana" w:cs="Times New Roman"/>
                <w:b/>
                <w:color w:val="333333"/>
                <w:sz w:val="19"/>
                <w:szCs w:val="19"/>
                <w:lang w:eastAsia="da-DK"/>
              </w:rPr>
              <w:t>vejledningen om certificeringsordning og byggesagsbehandling af transportable telte og konstruktioner</w:t>
            </w:r>
            <w:r w:rsidRPr="00C4212D">
              <w:rPr>
                <w:rFonts w:ascii="Verdana" w:eastAsia="Times New Roman" w:hAnsi="Verdana" w:cs="Times New Roman"/>
                <w:color w:val="333333"/>
                <w:sz w:val="19"/>
                <w:szCs w:val="19"/>
                <w:lang w:eastAsia="da-DK"/>
              </w:rPr>
              <w:t>, der indeholder eksempler på overholdelse af kravene.</w:t>
            </w:r>
          </w:p>
        </w:tc>
      </w:tr>
    </w:tbl>
    <w:p w:rsidR="00C4212D" w:rsidRDefault="00C4212D" w:rsidP="002F75A7"/>
    <w:p w:rsidR="00EE0D9F" w:rsidRDefault="00EE0D9F" w:rsidP="0018050F">
      <w:pPr>
        <w:jc w:val="center"/>
        <w:rPr>
          <w:b/>
          <w:sz w:val="32"/>
          <w:szCs w:val="32"/>
        </w:rPr>
      </w:pPr>
    </w:p>
    <w:p w:rsidR="00EE0D9F" w:rsidRDefault="00EE0D9F" w:rsidP="0018050F">
      <w:pPr>
        <w:jc w:val="center"/>
        <w:rPr>
          <w:b/>
          <w:sz w:val="32"/>
          <w:szCs w:val="32"/>
        </w:rPr>
      </w:pPr>
    </w:p>
    <w:p w:rsidR="00EE0D9F" w:rsidRDefault="00EE0D9F" w:rsidP="0018050F">
      <w:pPr>
        <w:jc w:val="center"/>
        <w:rPr>
          <w:b/>
          <w:sz w:val="32"/>
          <w:szCs w:val="32"/>
        </w:rPr>
      </w:pPr>
    </w:p>
    <w:p w:rsidR="00EE0D9F" w:rsidRDefault="00EE0D9F" w:rsidP="0018050F">
      <w:pPr>
        <w:jc w:val="center"/>
        <w:rPr>
          <w:b/>
          <w:sz w:val="32"/>
          <w:szCs w:val="32"/>
        </w:rPr>
      </w:pPr>
    </w:p>
    <w:p w:rsidR="00EE0D9F" w:rsidRDefault="00EE0D9F" w:rsidP="0018050F">
      <w:pPr>
        <w:jc w:val="center"/>
        <w:rPr>
          <w:b/>
          <w:sz w:val="32"/>
          <w:szCs w:val="32"/>
        </w:rPr>
      </w:pPr>
    </w:p>
    <w:p w:rsidR="00EE0D9F" w:rsidRDefault="00EE0D9F" w:rsidP="0018050F">
      <w:pPr>
        <w:jc w:val="center"/>
        <w:rPr>
          <w:b/>
          <w:sz w:val="32"/>
          <w:szCs w:val="32"/>
        </w:rPr>
      </w:pPr>
    </w:p>
    <w:p w:rsidR="00EE0D9F" w:rsidRDefault="00EE0D9F" w:rsidP="0018050F">
      <w:pPr>
        <w:jc w:val="center"/>
        <w:rPr>
          <w:b/>
          <w:sz w:val="32"/>
          <w:szCs w:val="32"/>
        </w:rPr>
      </w:pPr>
    </w:p>
    <w:p w:rsidR="00EE0D9F" w:rsidRDefault="00EE0D9F" w:rsidP="0018050F">
      <w:pPr>
        <w:jc w:val="center"/>
        <w:rPr>
          <w:b/>
          <w:sz w:val="32"/>
          <w:szCs w:val="32"/>
        </w:rPr>
      </w:pPr>
    </w:p>
    <w:p w:rsidR="00EE0D9F" w:rsidRDefault="00EE0D9F" w:rsidP="0018050F">
      <w:pPr>
        <w:jc w:val="center"/>
        <w:rPr>
          <w:b/>
          <w:sz w:val="32"/>
          <w:szCs w:val="32"/>
        </w:rPr>
      </w:pPr>
    </w:p>
    <w:p w:rsidR="00EE0D9F" w:rsidRDefault="00EE0D9F" w:rsidP="0018050F">
      <w:pPr>
        <w:jc w:val="center"/>
        <w:rPr>
          <w:b/>
          <w:sz w:val="32"/>
          <w:szCs w:val="32"/>
        </w:rPr>
      </w:pPr>
    </w:p>
    <w:p w:rsidR="00EE0D9F" w:rsidRDefault="00EE0D9F" w:rsidP="0018050F">
      <w:pPr>
        <w:jc w:val="center"/>
        <w:rPr>
          <w:b/>
          <w:sz w:val="32"/>
          <w:szCs w:val="32"/>
        </w:rPr>
      </w:pPr>
    </w:p>
    <w:p w:rsidR="00EE0D9F" w:rsidRDefault="00EE0D9F" w:rsidP="0018050F">
      <w:pPr>
        <w:jc w:val="center"/>
        <w:rPr>
          <w:b/>
          <w:sz w:val="32"/>
          <w:szCs w:val="32"/>
        </w:rPr>
      </w:pPr>
    </w:p>
    <w:p w:rsidR="00EE0D9F" w:rsidRDefault="00EE0D9F" w:rsidP="0018050F">
      <w:pPr>
        <w:jc w:val="center"/>
        <w:rPr>
          <w:b/>
          <w:sz w:val="32"/>
          <w:szCs w:val="32"/>
        </w:rPr>
      </w:pPr>
    </w:p>
    <w:p w:rsidR="00EE0D9F" w:rsidRPr="008F530F" w:rsidRDefault="00EE0D9F" w:rsidP="00EE0D9F">
      <w:pPr>
        <w:pStyle w:val="Default"/>
        <w:jc w:val="center"/>
        <w:rPr>
          <w:sz w:val="36"/>
          <w:szCs w:val="36"/>
        </w:rPr>
      </w:pPr>
      <w:r w:rsidRPr="008F530F">
        <w:rPr>
          <w:b/>
          <w:bCs/>
          <w:sz w:val="36"/>
          <w:szCs w:val="36"/>
        </w:rPr>
        <w:t>Transportable konstruktioner</w:t>
      </w:r>
    </w:p>
    <w:p w:rsidR="00EE0D9F" w:rsidRPr="008669D4" w:rsidRDefault="00EE0D9F" w:rsidP="00EE0D9F">
      <w:pPr>
        <w:pStyle w:val="Default"/>
        <w:jc w:val="center"/>
        <w:rPr>
          <w:b/>
          <w:bCs/>
          <w:sz w:val="16"/>
          <w:szCs w:val="16"/>
        </w:rPr>
      </w:pPr>
    </w:p>
    <w:p w:rsidR="00EE0D9F" w:rsidRPr="008F530F" w:rsidRDefault="00EE0D9F" w:rsidP="00EE0D9F">
      <w:pPr>
        <w:pStyle w:val="Default"/>
        <w:jc w:val="center"/>
        <w:rPr>
          <w:sz w:val="32"/>
          <w:szCs w:val="32"/>
        </w:rPr>
      </w:pPr>
      <w:r w:rsidRPr="008F530F">
        <w:rPr>
          <w:b/>
          <w:bCs/>
          <w:sz w:val="32"/>
          <w:szCs w:val="32"/>
        </w:rPr>
        <w:t>Bilag 2</w:t>
      </w:r>
    </w:p>
    <w:p w:rsidR="00EE0D9F" w:rsidRDefault="00EE0D9F" w:rsidP="00EE0D9F">
      <w:pPr>
        <w:pStyle w:val="Default"/>
        <w:rPr>
          <w:sz w:val="23"/>
          <w:szCs w:val="23"/>
        </w:rPr>
      </w:pPr>
    </w:p>
    <w:p w:rsidR="00EE0D9F" w:rsidRPr="008F530F" w:rsidRDefault="00EE0D9F" w:rsidP="00EE0D9F">
      <w:pPr>
        <w:pStyle w:val="Default"/>
        <w:rPr>
          <w:b/>
          <w:sz w:val="28"/>
          <w:szCs w:val="28"/>
        </w:rPr>
      </w:pPr>
      <w:r w:rsidRPr="008F530F">
        <w:rPr>
          <w:b/>
          <w:sz w:val="28"/>
          <w:szCs w:val="28"/>
        </w:rPr>
        <w:t xml:space="preserve">Skema 1 </w:t>
      </w:r>
    </w:p>
    <w:p w:rsidR="00EE0D9F" w:rsidRPr="008669D4" w:rsidRDefault="00EE0D9F" w:rsidP="00EE0D9F">
      <w:pPr>
        <w:pStyle w:val="Default"/>
        <w:rPr>
          <w:sz w:val="16"/>
          <w:szCs w:val="16"/>
        </w:rPr>
      </w:pPr>
    </w:p>
    <w:p w:rsidR="00EE0D9F" w:rsidRDefault="00EE0D9F" w:rsidP="00EE0D9F">
      <w:pPr>
        <w:pStyle w:val="Default"/>
        <w:rPr>
          <w:sz w:val="23"/>
          <w:szCs w:val="23"/>
        </w:rPr>
      </w:pPr>
      <w:r>
        <w:rPr>
          <w:sz w:val="23"/>
          <w:szCs w:val="23"/>
        </w:rPr>
        <w:t xml:space="preserve">Konstruktioner, der ikke må opstilles uden forudgående byggetilladelse eller certificering i henhold til bekendtgørelse om certificeringsordning for transportable telte og konstruktioner. Skemaet omfatter også modulopbyggede konstruktioner, hvis udformning og størrelse medfører, at konstruktionen overstiger de i skemaet anførte grænser.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958"/>
      </w:tblGrid>
      <w:tr w:rsidR="00EE0D9F" w:rsidTr="00825870">
        <w:trPr>
          <w:trHeight w:val="107"/>
        </w:trPr>
        <w:tc>
          <w:tcPr>
            <w:tcW w:w="9958" w:type="dxa"/>
          </w:tcPr>
          <w:p w:rsidR="00EE0D9F" w:rsidRDefault="00EE0D9F" w:rsidP="00825870">
            <w:pPr>
              <w:pStyle w:val="Default"/>
              <w:rPr>
                <w:sz w:val="23"/>
                <w:szCs w:val="23"/>
              </w:rPr>
            </w:pPr>
            <w:r>
              <w:rPr>
                <w:sz w:val="23"/>
                <w:szCs w:val="23"/>
              </w:rPr>
              <w:t xml:space="preserve">Transportable konstruktioner, der anvendes af mere end 150 personer, skal dog anmeldes til kommunal- bestyrelsen, uanset om konstruktionen er certificeret, og der er derfor ikke krav om byggetilladelse. </w:t>
            </w:r>
          </w:p>
          <w:p w:rsidR="00EE0D9F" w:rsidRPr="008669D4" w:rsidRDefault="00EE0D9F" w:rsidP="00825870">
            <w:pPr>
              <w:pStyle w:val="Default"/>
              <w:rPr>
                <w:sz w:val="16"/>
                <w:szCs w:val="16"/>
              </w:rPr>
            </w:pPr>
          </w:p>
          <w:p w:rsidR="00EE0D9F" w:rsidRDefault="00EE0D9F" w:rsidP="00825870">
            <w:pPr>
              <w:pStyle w:val="Default"/>
              <w:rPr>
                <w:sz w:val="23"/>
                <w:szCs w:val="23"/>
              </w:rPr>
            </w:pPr>
            <w:r>
              <w:rPr>
                <w:b/>
                <w:bCs/>
                <w:sz w:val="23"/>
                <w:szCs w:val="23"/>
              </w:rPr>
              <w:t xml:space="preserve">Transportable telte </w:t>
            </w:r>
          </w:p>
        </w:tc>
      </w:tr>
      <w:tr w:rsidR="00EE0D9F" w:rsidTr="00825870">
        <w:trPr>
          <w:trHeight w:val="109"/>
        </w:trPr>
        <w:tc>
          <w:tcPr>
            <w:tcW w:w="9958" w:type="dxa"/>
          </w:tcPr>
          <w:p w:rsidR="00EE0D9F" w:rsidRDefault="00EE0D9F" w:rsidP="00825870">
            <w:pPr>
              <w:pStyle w:val="Default"/>
              <w:numPr>
                <w:ilvl w:val="0"/>
                <w:numId w:val="16"/>
              </w:numPr>
              <w:rPr>
                <w:sz w:val="23"/>
                <w:szCs w:val="23"/>
              </w:rPr>
            </w:pPr>
            <w:r>
              <w:rPr>
                <w:sz w:val="23"/>
                <w:szCs w:val="23"/>
              </w:rPr>
              <w:t xml:space="preserve">Alle telte i mere end 1 etage </w:t>
            </w:r>
          </w:p>
        </w:tc>
      </w:tr>
      <w:tr w:rsidR="00EE0D9F" w:rsidTr="00825870">
        <w:trPr>
          <w:trHeight w:val="121"/>
        </w:trPr>
        <w:tc>
          <w:tcPr>
            <w:tcW w:w="9958" w:type="dxa"/>
          </w:tcPr>
          <w:p w:rsidR="00EE0D9F" w:rsidRDefault="00EE0D9F" w:rsidP="00825870">
            <w:pPr>
              <w:pStyle w:val="Default"/>
              <w:numPr>
                <w:ilvl w:val="0"/>
                <w:numId w:val="16"/>
              </w:numPr>
              <w:rPr>
                <w:sz w:val="16"/>
                <w:szCs w:val="16"/>
              </w:rPr>
            </w:pPr>
            <w:r>
              <w:rPr>
                <w:sz w:val="23"/>
                <w:szCs w:val="23"/>
              </w:rPr>
              <w:t xml:space="preserve">Telte, der </w:t>
            </w:r>
            <w:r w:rsidRPr="008F530F">
              <w:rPr>
                <w:sz w:val="23"/>
                <w:szCs w:val="23"/>
                <w:u w:val="single"/>
              </w:rPr>
              <w:t>ikke</w:t>
            </w:r>
            <w:r>
              <w:rPr>
                <w:sz w:val="23"/>
                <w:szCs w:val="23"/>
              </w:rPr>
              <w:t xml:space="preserve"> er til privat brug med et samlet areal større end 50 m</w:t>
            </w:r>
            <w:r>
              <w:rPr>
                <w:sz w:val="16"/>
                <w:szCs w:val="16"/>
              </w:rPr>
              <w:t xml:space="preserve">2 </w:t>
            </w:r>
          </w:p>
        </w:tc>
      </w:tr>
      <w:tr w:rsidR="00EE0D9F" w:rsidTr="00825870">
        <w:trPr>
          <w:trHeight w:val="107"/>
        </w:trPr>
        <w:tc>
          <w:tcPr>
            <w:tcW w:w="9958" w:type="dxa"/>
          </w:tcPr>
          <w:p w:rsidR="00EE0D9F" w:rsidRPr="008669D4" w:rsidRDefault="00EE0D9F" w:rsidP="00825870">
            <w:pPr>
              <w:pStyle w:val="Default"/>
              <w:rPr>
                <w:b/>
                <w:bCs/>
                <w:sz w:val="16"/>
                <w:szCs w:val="16"/>
              </w:rPr>
            </w:pPr>
          </w:p>
          <w:p w:rsidR="00EE0D9F" w:rsidRDefault="00EE0D9F" w:rsidP="00825870">
            <w:pPr>
              <w:pStyle w:val="Default"/>
              <w:rPr>
                <w:sz w:val="23"/>
                <w:szCs w:val="23"/>
              </w:rPr>
            </w:pPr>
            <w:r>
              <w:rPr>
                <w:b/>
                <w:bCs/>
                <w:sz w:val="23"/>
                <w:szCs w:val="23"/>
              </w:rPr>
              <w:t xml:space="preserve">Transportable konstruktioner </w:t>
            </w:r>
          </w:p>
        </w:tc>
      </w:tr>
      <w:tr w:rsidR="00EE0D9F" w:rsidTr="00825870">
        <w:trPr>
          <w:trHeight w:val="539"/>
        </w:trPr>
        <w:tc>
          <w:tcPr>
            <w:tcW w:w="9958" w:type="dxa"/>
          </w:tcPr>
          <w:p w:rsidR="00EE0D9F" w:rsidRDefault="00EE0D9F" w:rsidP="00825870">
            <w:pPr>
              <w:pStyle w:val="Default"/>
              <w:rPr>
                <w:sz w:val="23"/>
                <w:szCs w:val="23"/>
              </w:rPr>
            </w:pPr>
            <w:r>
              <w:rPr>
                <w:sz w:val="23"/>
                <w:szCs w:val="23"/>
              </w:rPr>
              <w:t xml:space="preserve">Alle konstruktioner i mere end 1 etage </w:t>
            </w:r>
          </w:p>
          <w:p w:rsidR="00EE0D9F" w:rsidRDefault="00EE0D9F" w:rsidP="00825870">
            <w:pPr>
              <w:pStyle w:val="Default"/>
              <w:rPr>
                <w:sz w:val="23"/>
                <w:szCs w:val="23"/>
              </w:rPr>
            </w:pPr>
            <w:r>
              <w:rPr>
                <w:sz w:val="23"/>
                <w:szCs w:val="23"/>
              </w:rPr>
              <w:t xml:space="preserve">● Scener, herunder automobilscener og uanset om scenen opstilles indendørs eller udendørs </w:t>
            </w:r>
          </w:p>
          <w:p w:rsidR="00EE0D9F" w:rsidRDefault="00EE0D9F" w:rsidP="00825870">
            <w:pPr>
              <w:pStyle w:val="Default"/>
              <w:rPr>
                <w:sz w:val="23"/>
                <w:szCs w:val="23"/>
              </w:rPr>
            </w:pPr>
            <w:r>
              <w:rPr>
                <w:sz w:val="23"/>
                <w:szCs w:val="23"/>
              </w:rPr>
              <w:t xml:space="preserve">● Scener, som er mere end 1 m høje </w:t>
            </w:r>
          </w:p>
          <w:p w:rsidR="00EE0D9F" w:rsidRDefault="00EE0D9F" w:rsidP="00825870">
            <w:pPr>
              <w:pStyle w:val="Default"/>
              <w:rPr>
                <w:sz w:val="23"/>
                <w:szCs w:val="23"/>
              </w:rPr>
            </w:pPr>
            <w:r>
              <w:rPr>
                <w:sz w:val="23"/>
                <w:szCs w:val="23"/>
              </w:rPr>
              <w:t xml:space="preserve">Alle overdækninger over scener, uanset scenens højde, hvis overdækningen er mere end 50 m² </w:t>
            </w:r>
          </w:p>
        </w:tc>
      </w:tr>
      <w:tr w:rsidR="00EE0D9F" w:rsidTr="00825870">
        <w:trPr>
          <w:trHeight w:val="395"/>
        </w:trPr>
        <w:tc>
          <w:tcPr>
            <w:tcW w:w="9958" w:type="dxa"/>
          </w:tcPr>
          <w:p w:rsidR="00EE0D9F" w:rsidRDefault="00EE0D9F" w:rsidP="00825870">
            <w:pPr>
              <w:pStyle w:val="Default"/>
              <w:rPr>
                <w:sz w:val="23"/>
                <w:szCs w:val="23"/>
              </w:rPr>
            </w:pPr>
          </w:p>
          <w:p w:rsidR="00EE0D9F" w:rsidRDefault="00EE0D9F" w:rsidP="00825870">
            <w:pPr>
              <w:pStyle w:val="Default"/>
              <w:rPr>
                <w:sz w:val="23"/>
                <w:szCs w:val="23"/>
              </w:rPr>
            </w:pPr>
            <w:r>
              <w:rPr>
                <w:sz w:val="23"/>
                <w:szCs w:val="23"/>
              </w:rPr>
              <w:t xml:space="preserve">Tribuner, herunder automobiltribuner </w:t>
            </w:r>
          </w:p>
          <w:p w:rsidR="00EE0D9F" w:rsidRDefault="00EE0D9F" w:rsidP="00825870">
            <w:pPr>
              <w:pStyle w:val="Default"/>
              <w:rPr>
                <w:sz w:val="23"/>
                <w:szCs w:val="23"/>
              </w:rPr>
            </w:pPr>
            <w:r>
              <w:rPr>
                <w:sz w:val="23"/>
                <w:szCs w:val="23"/>
              </w:rPr>
              <w:t xml:space="preserve">● tribuner, som er mere end 1 m høje </w:t>
            </w:r>
          </w:p>
          <w:p w:rsidR="00EE0D9F" w:rsidRDefault="00EE0D9F" w:rsidP="00825870">
            <w:pPr>
              <w:pStyle w:val="Default"/>
              <w:rPr>
                <w:sz w:val="23"/>
                <w:szCs w:val="23"/>
              </w:rPr>
            </w:pPr>
            <w:r>
              <w:rPr>
                <w:sz w:val="23"/>
                <w:szCs w:val="23"/>
              </w:rPr>
              <w:t xml:space="preserve">● Alle overdækninger over tribuner, uanset tribunens højde, hvis overdækningen er mere end 50 m² </w:t>
            </w:r>
          </w:p>
          <w:p w:rsidR="00EE0D9F" w:rsidRDefault="00EE0D9F" w:rsidP="00825870">
            <w:pPr>
              <w:pStyle w:val="Default"/>
              <w:rPr>
                <w:sz w:val="23"/>
                <w:szCs w:val="23"/>
              </w:rPr>
            </w:pPr>
          </w:p>
        </w:tc>
      </w:tr>
      <w:tr w:rsidR="00EE0D9F" w:rsidTr="00825870">
        <w:trPr>
          <w:trHeight w:val="252"/>
        </w:trPr>
        <w:tc>
          <w:tcPr>
            <w:tcW w:w="9958" w:type="dxa"/>
          </w:tcPr>
          <w:p w:rsidR="00EE0D9F" w:rsidRDefault="00EE0D9F" w:rsidP="00825870">
            <w:pPr>
              <w:pStyle w:val="Default"/>
              <w:rPr>
                <w:sz w:val="23"/>
                <w:szCs w:val="23"/>
              </w:rPr>
            </w:pPr>
            <w:r>
              <w:rPr>
                <w:sz w:val="23"/>
                <w:szCs w:val="23"/>
              </w:rPr>
              <w:t xml:space="preserve">Portaler (med og uden inddækning) der udføres, placeres eller anvendes på en sådan måde, at der ved et svigt kan være risiko for væsentlig personskade </w:t>
            </w:r>
          </w:p>
        </w:tc>
      </w:tr>
      <w:tr w:rsidR="00EE0D9F" w:rsidTr="00825870">
        <w:trPr>
          <w:trHeight w:val="539"/>
        </w:trPr>
        <w:tc>
          <w:tcPr>
            <w:tcW w:w="9958" w:type="dxa"/>
          </w:tcPr>
          <w:p w:rsidR="00EE0D9F" w:rsidRDefault="00EE0D9F" w:rsidP="00825870">
            <w:pPr>
              <w:pStyle w:val="Default"/>
              <w:rPr>
                <w:sz w:val="23"/>
                <w:szCs w:val="23"/>
              </w:rPr>
            </w:pPr>
          </w:p>
          <w:p w:rsidR="00EE0D9F" w:rsidRDefault="00EE0D9F" w:rsidP="00825870">
            <w:pPr>
              <w:pStyle w:val="Default"/>
              <w:rPr>
                <w:sz w:val="23"/>
                <w:szCs w:val="23"/>
              </w:rPr>
            </w:pPr>
            <w:r>
              <w:rPr>
                <w:sz w:val="23"/>
                <w:szCs w:val="23"/>
              </w:rPr>
              <w:t xml:space="preserve">Gangbroer </w:t>
            </w:r>
          </w:p>
          <w:p w:rsidR="00EE0D9F" w:rsidRDefault="00EE0D9F" w:rsidP="00825870">
            <w:pPr>
              <w:pStyle w:val="Default"/>
              <w:rPr>
                <w:sz w:val="23"/>
                <w:szCs w:val="23"/>
              </w:rPr>
            </w:pPr>
            <w:r>
              <w:rPr>
                <w:sz w:val="23"/>
                <w:szCs w:val="23"/>
              </w:rPr>
              <w:t xml:space="preserve">● Over 1 m i højden og med eller uden færdsel under gangbroen uanset om gangbroen er med eller uden overdækning </w:t>
            </w:r>
          </w:p>
          <w:p w:rsidR="00EE0D9F" w:rsidRDefault="00EE0D9F" w:rsidP="00825870">
            <w:pPr>
              <w:pStyle w:val="Default"/>
              <w:rPr>
                <w:sz w:val="23"/>
                <w:szCs w:val="23"/>
              </w:rPr>
            </w:pPr>
            <w:r>
              <w:rPr>
                <w:sz w:val="23"/>
                <w:szCs w:val="23"/>
              </w:rPr>
              <w:t xml:space="preserve">● Alle overdækninger over gangbroer </w:t>
            </w:r>
          </w:p>
          <w:p w:rsidR="00EE0D9F" w:rsidRDefault="00EE0D9F" w:rsidP="00825870">
            <w:pPr>
              <w:pStyle w:val="Default"/>
              <w:rPr>
                <w:sz w:val="23"/>
                <w:szCs w:val="23"/>
              </w:rPr>
            </w:pPr>
          </w:p>
        </w:tc>
      </w:tr>
      <w:tr w:rsidR="00EE0D9F" w:rsidTr="00825870">
        <w:trPr>
          <w:trHeight w:val="395"/>
        </w:trPr>
        <w:tc>
          <w:tcPr>
            <w:tcW w:w="9958" w:type="dxa"/>
          </w:tcPr>
          <w:p w:rsidR="00EE0D9F" w:rsidRDefault="00EE0D9F" w:rsidP="00825870">
            <w:pPr>
              <w:pStyle w:val="Default"/>
              <w:rPr>
                <w:sz w:val="23"/>
                <w:szCs w:val="23"/>
              </w:rPr>
            </w:pPr>
            <w:r>
              <w:rPr>
                <w:sz w:val="23"/>
                <w:szCs w:val="23"/>
              </w:rPr>
              <w:t xml:space="preserve">Tårne, storskærme, mobilantenner, højtalertårne, skillevægge og lignende selvstående konstruktioner, der udføres, placeres eller anvendes på en sådan måde, at der ved et svigt kan være risiko for væsentlig personskade </w:t>
            </w:r>
          </w:p>
        </w:tc>
      </w:tr>
      <w:tr w:rsidR="00EE0D9F" w:rsidTr="00825870">
        <w:trPr>
          <w:trHeight w:val="251"/>
        </w:trPr>
        <w:tc>
          <w:tcPr>
            <w:tcW w:w="9958" w:type="dxa"/>
          </w:tcPr>
          <w:p w:rsidR="00EE0D9F" w:rsidRDefault="00EE0D9F" w:rsidP="00825870">
            <w:pPr>
              <w:pStyle w:val="Default"/>
              <w:rPr>
                <w:sz w:val="23"/>
                <w:szCs w:val="23"/>
              </w:rPr>
            </w:pPr>
          </w:p>
          <w:p w:rsidR="00EE0D9F" w:rsidRDefault="00EE0D9F" w:rsidP="00825870">
            <w:pPr>
              <w:pStyle w:val="Default"/>
              <w:rPr>
                <w:sz w:val="23"/>
                <w:szCs w:val="23"/>
              </w:rPr>
            </w:pPr>
            <w:proofErr w:type="spellStart"/>
            <w:r>
              <w:rPr>
                <w:sz w:val="23"/>
                <w:szCs w:val="23"/>
              </w:rPr>
              <w:t>Truss</w:t>
            </w:r>
            <w:proofErr w:type="spellEnd"/>
            <w:r>
              <w:rPr>
                <w:sz w:val="23"/>
                <w:szCs w:val="23"/>
              </w:rPr>
              <w:t xml:space="preserve">-systemer, der udføres, placeres eller anvendes på en sådan måde, at der ved svigt kan være risiko for væsentlig personskade </w:t>
            </w:r>
          </w:p>
        </w:tc>
      </w:tr>
    </w:tbl>
    <w:p w:rsidR="00EE0D9F" w:rsidRPr="008F530F" w:rsidRDefault="00EE0D9F" w:rsidP="00EE0D9F">
      <w:pPr>
        <w:autoSpaceDE w:val="0"/>
        <w:autoSpaceDN w:val="0"/>
        <w:adjustRightInd w:val="0"/>
        <w:spacing w:after="0" w:line="240" w:lineRule="auto"/>
        <w:rPr>
          <w:rFonts w:ascii="Times New Roman" w:hAnsi="Times New Roman" w:cs="Times New Roman"/>
          <w:color w:val="000000"/>
          <w:sz w:val="24"/>
          <w:szCs w:val="24"/>
        </w:rPr>
      </w:pPr>
    </w:p>
    <w:p w:rsidR="00EE0D9F" w:rsidRDefault="00EE0D9F" w:rsidP="00EE0D9F">
      <w:pPr>
        <w:autoSpaceDE w:val="0"/>
        <w:autoSpaceDN w:val="0"/>
        <w:adjustRightInd w:val="0"/>
        <w:spacing w:after="0" w:line="240" w:lineRule="auto"/>
        <w:rPr>
          <w:rFonts w:ascii="Times New Roman" w:hAnsi="Times New Roman" w:cs="Times New Roman"/>
          <w:color w:val="000000"/>
          <w:sz w:val="24"/>
          <w:szCs w:val="24"/>
        </w:rPr>
      </w:pPr>
    </w:p>
    <w:p w:rsidR="00EE0D9F" w:rsidRDefault="00EE0D9F" w:rsidP="00EE0D9F">
      <w:pPr>
        <w:autoSpaceDE w:val="0"/>
        <w:autoSpaceDN w:val="0"/>
        <w:adjustRightInd w:val="0"/>
        <w:spacing w:after="0" w:line="240" w:lineRule="auto"/>
        <w:rPr>
          <w:rFonts w:ascii="Times New Roman" w:hAnsi="Times New Roman" w:cs="Times New Roman"/>
          <w:color w:val="000000"/>
          <w:sz w:val="24"/>
          <w:szCs w:val="24"/>
        </w:rPr>
      </w:pPr>
    </w:p>
    <w:p w:rsidR="00EE0D9F" w:rsidRDefault="00EE0D9F" w:rsidP="00EE0D9F">
      <w:pPr>
        <w:autoSpaceDE w:val="0"/>
        <w:autoSpaceDN w:val="0"/>
        <w:adjustRightInd w:val="0"/>
        <w:spacing w:after="0" w:line="240" w:lineRule="auto"/>
        <w:rPr>
          <w:rFonts w:ascii="Times New Roman" w:hAnsi="Times New Roman" w:cs="Times New Roman"/>
          <w:color w:val="000000"/>
          <w:sz w:val="24"/>
          <w:szCs w:val="24"/>
        </w:rPr>
      </w:pPr>
    </w:p>
    <w:p w:rsidR="00EE0D9F" w:rsidRDefault="00EE0D9F" w:rsidP="00EE0D9F">
      <w:pPr>
        <w:autoSpaceDE w:val="0"/>
        <w:autoSpaceDN w:val="0"/>
        <w:adjustRightInd w:val="0"/>
        <w:spacing w:after="0" w:line="240" w:lineRule="auto"/>
        <w:rPr>
          <w:rFonts w:ascii="Times New Roman" w:hAnsi="Times New Roman" w:cs="Times New Roman"/>
          <w:color w:val="000000"/>
          <w:sz w:val="24"/>
          <w:szCs w:val="24"/>
        </w:rPr>
      </w:pPr>
    </w:p>
    <w:p w:rsidR="00EE0D9F" w:rsidRDefault="00EE0D9F" w:rsidP="00EE0D9F">
      <w:pPr>
        <w:autoSpaceDE w:val="0"/>
        <w:autoSpaceDN w:val="0"/>
        <w:adjustRightInd w:val="0"/>
        <w:spacing w:after="0" w:line="240" w:lineRule="auto"/>
        <w:rPr>
          <w:rFonts w:ascii="Times New Roman" w:hAnsi="Times New Roman" w:cs="Times New Roman"/>
          <w:color w:val="000000"/>
          <w:sz w:val="24"/>
          <w:szCs w:val="24"/>
        </w:rPr>
      </w:pPr>
    </w:p>
    <w:p w:rsidR="00EE0D9F" w:rsidRDefault="00EE0D9F" w:rsidP="00EE0D9F">
      <w:pPr>
        <w:autoSpaceDE w:val="0"/>
        <w:autoSpaceDN w:val="0"/>
        <w:adjustRightInd w:val="0"/>
        <w:spacing w:after="0" w:line="240" w:lineRule="auto"/>
        <w:rPr>
          <w:rFonts w:ascii="Times New Roman" w:hAnsi="Times New Roman" w:cs="Times New Roman"/>
          <w:color w:val="000000"/>
          <w:sz w:val="24"/>
          <w:szCs w:val="24"/>
        </w:rPr>
      </w:pPr>
    </w:p>
    <w:p w:rsidR="00EE0D9F" w:rsidRDefault="00EE0D9F" w:rsidP="00EE0D9F">
      <w:pPr>
        <w:autoSpaceDE w:val="0"/>
        <w:autoSpaceDN w:val="0"/>
        <w:adjustRightInd w:val="0"/>
        <w:spacing w:after="0" w:line="240" w:lineRule="auto"/>
        <w:rPr>
          <w:rFonts w:ascii="Times New Roman" w:hAnsi="Times New Roman" w:cs="Times New Roman"/>
          <w:color w:val="000000"/>
          <w:sz w:val="24"/>
          <w:szCs w:val="24"/>
        </w:rPr>
      </w:pPr>
    </w:p>
    <w:p w:rsidR="00EE0D9F" w:rsidRDefault="00EE0D9F" w:rsidP="00EE0D9F">
      <w:pPr>
        <w:autoSpaceDE w:val="0"/>
        <w:autoSpaceDN w:val="0"/>
        <w:adjustRightInd w:val="0"/>
        <w:spacing w:after="0" w:line="240" w:lineRule="auto"/>
        <w:rPr>
          <w:rFonts w:ascii="Times New Roman" w:hAnsi="Times New Roman" w:cs="Times New Roman"/>
          <w:color w:val="000000"/>
          <w:sz w:val="24"/>
          <w:szCs w:val="24"/>
        </w:rPr>
      </w:pPr>
    </w:p>
    <w:p w:rsidR="00EE0D9F" w:rsidRPr="008F530F" w:rsidRDefault="00EE0D9F" w:rsidP="00EE0D9F">
      <w:pPr>
        <w:autoSpaceDE w:val="0"/>
        <w:autoSpaceDN w:val="0"/>
        <w:adjustRightInd w:val="0"/>
        <w:spacing w:after="0" w:line="240" w:lineRule="auto"/>
        <w:rPr>
          <w:rFonts w:ascii="Times New Roman" w:hAnsi="Times New Roman" w:cs="Times New Roman"/>
          <w:b/>
          <w:color w:val="000000"/>
          <w:sz w:val="28"/>
          <w:szCs w:val="28"/>
        </w:rPr>
      </w:pPr>
      <w:r w:rsidRPr="008F530F">
        <w:rPr>
          <w:rFonts w:ascii="Times New Roman" w:hAnsi="Times New Roman" w:cs="Times New Roman"/>
          <w:color w:val="000000"/>
          <w:sz w:val="24"/>
          <w:szCs w:val="24"/>
        </w:rPr>
        <w:t xml:space="preserve"> </w:t>
      </w:r>
      <w:r w:rsidRPr="008F530F">
        <w:rPr>
          <w:rFonts w:ascii="Times New Roman" w:hAnsi="Times New Roman" w:cs="Times New Roman"/>
          <w:b/>
          <w:color w:val="000000"/>
          <w:sz w:val="28"/>
          <w:szCs w:val="28"/>
        </w:rPr>
        <w:t xml:space="preserve">Skema 2 </w:t>
      </w:r>
    </w:p>
    <w:p w:rsidR="00EE0D9F" w:rsidRPr="008F530F" w:rsidRDefault="00EE0D9F" w:rsidP="00EE0D9F">
      <w:pPr>
        <w:autoSpaceDE w:val="0"/>
        <w:autoSpaceDN w:val="0"/>
        <w:adjustRightInd w:val="0"/>
        <w:spacing w:after="0" w:line="240" w:lineRule="auto"/>
        <w:rPr>
          <w:rFonts w:ascii="Times New Roman" w:hAnsi="Times New Roman" w:cs="Times New Roman"/>
          <w:b/>
          <w:color w:val="000000"/>
          <w:sz w:val="23"/>
          <w:szCs w:val="23"/>
        </w:rPr>
      </w:pPr>
    </w:p>
    <w:p w:rsidR="00EE0D9F" w:rsidRDefault="00EE0D9F" w:rsidP="00EE0D9F">
      <w:pPr>
        <w:autoSpaceDE w:val="0"/>
        <w:autoSpaceDN w:val="0"/>
        <w:adjustRightInd w:val="0"/>
        <w:spacing w:after="0" w:line="240" w:lineRule="auto"/>
        <w:rPr>
          <w:rFonts w:ascii="Times New Roman" w:hAnsi="Times New Roman" w:cs="Times New Roman"/>
          <w:color w:val="000000"/>
          <w:sz w:val="23"/>
          <w:szCs w:val="23"/>
        </w:rPr>
      </w:pPr>
      <w:r w:rsidRPr="008F530F">
        <w:rPr>
          <w:rFonts w:ascii="Times New Roman" w:hAnsi="Times New Roman" w:cs="Times New Roman"/>
          <w:color w:val="000000"/>
          <w:sz w:val="23"/>
          <w:szCs w:val="23"/>
        </w:rPr>
        <w:t xml:space="preserve">Konstruktioner, der må opsættes uden forudgående byggetilladelse eller certificering, men som er omfattet af byggelovens anvendelsesområde, og som derfor skal efterleve reglerne i kap. 3.2.1, kap. 4.1-4.3 og kap. 5. </w:t>
      </w:r>
    </w:p>
    <w:p w:rsidR="00EE0D9F" w:rsidRPr="008F530F" w:rsidRDefault="00EE0D9F" w:rsidP="00EE0D9F">
      <w:pPr>
        <w:autoSpaceDE w:val="0"/>
        <w:autoSpaceDN w:val="0"/>
        <w:adjustRightInd w:val="0"/>
        <w:spacing w:after="0" w:line="240" w:lineRule="auto"/>
        <w:rPr>
          <w:rFonts w:ascii="Times New Roman" w:hAnsi="Times New Roman" w:cs="Times New Roman"/>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946"/>
      </w:tblGrid>
      <w:tr w:rsidR="00EE0D9F" w:rsidRPr="008F530F" w:rsidTr="00825870">
        <w:trPr>
          <w:trHeight w:val="107"/>
        </w:trPr>
        <w:tc>
          <w:tcPr>
            <w:tcW w:w="9946" w:type="dxa"/>
          </w:tcPr>
          <w:p w:rsidR="00EE0D9F" w:rsidRDefault="00EE0D9F" w:rsidP="00825870">
            <w:pPr>
              <w:autoSpaceDE w:val="0"/>
              <w:autoSpaceDN w:val="0"/>
              <w:adjustRightInd w:val="0"/>
              <w:spacing w:after="0" w:line="240" w:lineRule="auto"/>
              <w:rPr>
                <w:rFonts w:ascii="Times New Roman" w:hAnsi="Times New Roman" w:cs="Times New Roman"/>
                <w:color w:val="000000"/>
                <w:sz w:val="23"/>
                <w:szCs w:val="23"/>
              </w:rPr>
            </w:pPr>
            <w:r w:rsidRPr="008F530F">
              <w:rPr>
                <w:rFonts w:ascii="Times New Roman" w:hAnsi="Times New Roman" w:cs="Times New Roman"/>
                <w:color w:val="000000"/>
                <w:sz w:val="23"/>
                <w:szCs w:val="23"/>
              </w:rPr>
              <w:t xml:space="preserve">Transportable konstruktioner, der anvendes af mere end 150 personer, skal dog anmeldes til kommunal- bestyrelsen uanset, om der er krav om byggetilladelse eller certificering. </w:t>
            </w:r>
          </w:p>
          <w:p w:rsidR="00EE0D9F" w:rsidRDefault="00EE0D9F" w:rsidP="00825870">
            <w:pPr>
              <w:autoSpaceDE w:val="0"/>
              <w:autoSpaceDN w:val="0"/>
              <w:adjustRightInd w:val="0"/>
              <w:spacing w:after="0" w:line="240" w:lineRule="auto"/>
              <w:rPr>
                <w:rFonts w:ascii="Times New Roman" w:hAnsi="Times New Roman" w:cs="Times New Roman"/>
                <w:color w:val="000000"/>
                <w:sz w:val="23"/>
                <w:szCs w:val="23"/>
              </w:rPr>
            </w:pPr>
          </w:p>
          <w:p w:rsidR="00EE0D9F" w:rsidRPr="008F530F" w:rsidRDefault="00EE0D9F" w:rsidP="00825870">
            <w:pPr>
              <w:autoSpaceDE w:val="0"/>
              <w:autoSpaceDN w:val="0"/>
              <w:adjustRightInd w:val="0"/>
              <w:spacing w:after="0" w:line="240" w:lineRule="auto"/>
              <w:rPr>
                <w:rFonts w:ascii="Times New Roman" w:hAnsi="Times New Roman" w:cs="Times New Roman"/>
                <w:color w:val="000000"/>
                <w:sz w:val="23"/>
                <w:szCs w:val="23"/>
              </w:rPr>
            </w:pPr>
            <w:r w:rsidRPr="008F530F">
              <w:rPr>
                <w:rFonts w:ascii="Times New Roman" w:hAnsi="Times New Roman" w:cs="Times New Roman"/>
                <w:b/>
                <w:bCs/>
                <w:color w:val="000000"/>
                <w:sz w:val="23"/>
                <w:szCs w:val="23"/>
              </w:rPr>
              <w:t xml:space="preserve">Transportable telte </w:t>
            </w:r>
          </w:p>
        </w:tc>
      </w:tr>
      <w:tr w:rsidR="00EE0D9F" w:rsidRPr="008F530F" w:rsidTr="00825870">
        <w:trPr>
          <w:trHeight w:val="109"/>
        </w:trPr>
        <w:tc>
          <w:tcPr>
            <w:tcW w:w="9946" w:type="dxa"/>
          </w:tcPr>
          <w:p w:rsidR="00EE0D9F" w:rsidRPr="008F530F" w:rsidRDefault="00EE0D9F" w:rsidP="00825870">
            <w:pPr>
              <w:autoSpaceDE w:val="0"/>
              <w:autoSpaceDN w:val="0"/>
              <w:adjustRightInd w:val="0"/>
              <w:spacing w:after="0" w:line="240" w:lineRule="auto"/>
              <w:rPr>
                <w:rFonts w:ascii="Times New Roman" w:hAnsi="Times New Roman" w:cs="Times New Roman"/>
                <w:color w:val="000000"/>
                <w:sz w:val="23"/>
                <w:szCs w:val="23"/>
              </w:rPr>
            </w:pPr>
            <w:r w:rsidRPr="008F530F">
              <w:rPr>
                <w:rFonts w:ascii="Times New Roman" w:hAnsi="Times New Roman" w:cs="Times New Roman"/>
                <w:color w:val="000000"/>
                <w:sz w:val="23"/>
                <w:szCs w:val="23"/>
              </w:rPr>
              <w:t xml:space="preserve">Telte i 1 etage kun til privat brug </w:t>
            </w:r>
          </w:p>
        </w:tc>
      </w:tr>
      <w:tr w:rsidR="00EE0D9F" w:rsidRPr="008F530F" w:rsidTr="00825870">
        <w:trPr>
          <w:trHeight w:val="109"/>
        </w:trPr>
        <w:tc>
          <w:tcPr>
            <w:tcW w:w="9946" w:type="dxa"/>
          </w:tcPr>
          <w:p w:rsidR="00EE0D9F" w:rsidRPr="008F530F" w:rsidRDefault="00EE0D9F" w:rsidP="00825870">
            <w:pPr>
              <w:autoSpaceDE w:val="0"/>
              <w:autoSpaceDN w:val="0"/>
              <w:adjustRightInd w:val="0"/>
              <w:spacing w:after="0" w:line="240" w:lineRule="auto"/>
              <w:rPr>
                <w:rFonts w:ascii="Times New Roman" w:hAnsi="Times New Roman" w:cs="Times New Roman"/>
                <w:color w:val="000000"/>
                <w:sz w:val="23"/>
                <w:szCs w:val="23"/>
              </w:rPr>
            </w:pPr>
            <w:r w:rsidRPr="008F530F">
              <w:rPr>
                <w:rFonts w:ascii="Times New Roman" w:hAnsi="Times New Roman" w:cs="Times New Roman"/>
                <w:color w:val="000000"/>
                <w:sz w:val="23"/>
                <w:szCs w:val="23"/>
              </w:rPr>
              <w:t xml:space="preserve">Telte i 1 etage, der ikke er til privat brug med et samlet areal mindre end 50 m2 </w:t>
            </w:r>
          </w:p>
        </w:tc>
      </w:tr>
      <w:tr w:rsidR="00EE0D9F" w:rsidRPr="008F530F" w:rsidTr="00825870">
        <w:trPr>
          <w:trHeight w:val="107"/>
        </w:trPr>
        <w:tc>
          <w:tcPr>
            <w:tcW w:w="9946" w:type="dxa"/>
          </w:tcPr>
          <w:p w:rsidR="00EE0D9F" w:rsidRDefault="00EE0D9F" w:rsidP="00825870">
            <w:pPr>
              <w:autoSpaceDE w:val="0"/>
              <w:autoSpaceDN w:val="0"/>
              <w:adjustRightInd w:val="0"/>
              <w:spacing w:after="0" w:line="240" w:lineRule="auto"/>
              <w:rPr>
                <w:rFonts w:ascii="Times New Roman" w:hAnsi="Times New Roman" w:cs="Times New Roman"/>
                <w:b/>
                <w:bCs/>
                <w:color w:val="000000"/>
                <w:sz w:val="23"/>
                <w:szCs w:val="23"/>
              </w:rPr>
            </w:pPr>
          </w:p>
          <w:p w:rsidR="00EE0D9F" w:rsidRPr="008F530F" w:rsidRDefault="00EE0D9F" w:rsidP="00825870">
            <w:pPr>
              <w:autoSpaceDE w:val="0"/>
              <w:autoSpaceDN w:val="0"/>
              <w:adjustRightInd w:val="0"/>
              <w:spacing w:after="0" w:line="240" w:lineRule="auto"/>
              <w:rPr>
                <w:rFonts w:ascii="Times New Roman" w:hAnsi="Times New Roman" w:cs="Times New Roman"/>
                <w:color w:val="000000"/>
                <w:sz w:val="23"/>
                <w:szCs w:val="23"/>
              </w:rPr>
            </w:pPr>
            <w:r w:rsidRPr="008F530F">
              <w:rPr>
                <w:rFonts w:ascii="Times New Roman" w:hAnsi="Times New Roman" w:cs="Times New Roman"/>
                <w:b/>
                <w:bCs/>
                <w:color w:val="000000"/>
                <w:sz w:val="23"/>
                <w:szCs w:val="23"/>
              </w:rPr>
              <w:t xml:space="preserve">Transportable konstruktioner </w:t>
            </w:r>
          </w:p>
        </w:tc>
      </w:tr>
      <w:tr w:rsidR="00EE0D9F" w:rsidRPr="008F530F" w:rsidTr="00825870">
        <w:trPr>
          <w:trHeight w:val="251"/>
        </w:trPr>
        <w:tc>
          <w:tcPr>
            <w:tcW w:w="9946" w:type="dxa"/>
          </w:tcPr>
          <w:p w:rsidR="00EE0D9F" w:rsidRPr="008F530F" w:rsidRDefault="00EE0D9F" w:rsidP="00825870">
            <w:pPr>
              <w:autoSpaceDE w:val="0"/>
              <w:autoSpaceDN w:val="0"/>
              <w:adjustRightInd w:val="0"/>
              <w:spacing w:after="0" w:line="240" w:lineRule="auto"/>
              <w:rPr>
                <w:rFonts w:ascii="Times New Roman" w:hAnsi="Times New Roman" w:cs="Times New Roman"/>
                <w:color w:val="000000"/>
                <w:sz w:val="23"/>
                <w:szCs w:val="23"/>
              </w:rPr>
            </w:pPr>
            <w:r w:rsidRPr="008F530F">
              <w:rPr>
                <w:rFonts w:ascii="Times New Roman" w:hAnsi="Times New Roman" w:cs="Times New Roman"/>
                <w:color w:val="000000"/>
                <w:sz w:val="23"/>
                <w:szCs w:val="23"/>
              </w:rPr>
              <w:t xml:space="preserve">Scener, herunder automobilscener (uanset om scenen opstilles indendørs eller udendørs), som er højst 1 m og uden overdækning </w:t>
            </w:r>
          </w:p>
        </w:tc>
      </w:tr>
      <w:tr w:rsidR="00EE0D9F" w:rsidRPr="008F530F" w:rsidTr="00825870">
        <w:trPr>
          <w:trHeight w:val="109"/>
        </w:trPr>
        <w:tc>
          <w:tcPr>
            <w:tcW w:w="9946" w:type="dxa"/>
          </w:tcPr>
          <w:p w:rsidR="00EE0D9F" w:rsidRDefault="00EE0D9F" w:rsidP="00825870">
            <w:pPr>
              <w:autoSpaceDE w:val="0"/>
              <w:autoSpaceDN w:val="0"/>
              <w:adjustRightInd w:val="0"/>
              <w:spacing w:after="0" w:line="240" w:lineRule="auto"/>
              <w:rPr>
                <w:rFonts w:ascii="Times New Roman" w:hAnsi="Times New Roman" w:cs="Times New Roman"/>
                <w:color w:val="000000"/>
                <w:sz w:val="23"/>
                <w:szCs w:val="23"/>
              </w:rPr>
            </w:pPr>
          </w:p>
          <w:p w:rsidR="00EE0D9F" w:rsidRPr="008F530F" w:rsidRDefault="00EE0D9F" w:rsidP="00825870">
            <w:pPr>
              <w:autoSpaceDE w:val="0"/>
              <w:autoSpaceDN w:val="0"/>
              <w:adjustRightInd w:val="0"/>
              <w:spacing w:after="0" w:line="240" w:lineRule="auto"/>
              <w:rPr>
                <w:rFonts w:ascii="Times New Roman" w:hAnsi="Times New Roman" w:cs="Times New Roman"/>
                <w:color w:val="000000"/>
                <w:sz w:val="23"/>
                <w:szCs w:val="23"/>
              </w:rPr>
            </w:pPr>
            <w:r w:rsidRPr="008F530F">
              <w:rPr>
                <w:rFonts w:ascii="Times New Roman" w:hAnsi="Times New Roman" w:cs="Times New Roman"/>
                <w:color w:val="000000"/>
                <w:sz w:val="23"/>
                <w:szCs w:val="23"/>
              </w:rPr>
              <w:t xml:space="preserve">Tribuner, herunder automobiltribuner, som er mindre end 1 m og uden overdækning </w:t>
            </w:r>
          </w:p>
        </w:tc>
      </w:tr>
      <w:tr w:rsidR="00EE0D9F" w:rsidRPr="008F530F" w:rsidTr="00825870">
        <w:trPr>
          <w:trHeight w:val="109"/>
        </w:trPr>
        <w:tc>
          <w:tcPr>
            <w:tcW w:w="9946" w:type="dxa"/>
          </w:tcPr>
          <w:p w:rsidR="00EE0D9F" w:rsidRDefault="00EE0D9F" w:rsidP="00825870">
            <w:pPr>
              <w:autoSpaceDE w:val="0"/>
              <w:autoSpaceDN w:val="0"/>
              <w:adjustRightInd w:val="0"/>
              <w:spacing w:after="0" w:line="240" w:lineRule="auto"/>
              <w:rPr>
                <w:rFonts w:ascii="Times New Roman" w:hAnsi="Times New Roman" w:cs="Times New Roman"/>
                <w:color w:val="000000"/>
                <w:sz w:val="23"/>
                <w:szCs w:val="23"/>
              </w:rPr>
            </w:pPr>
          </w:p>
          <w:p w:rsidR="00EE0D9F" w:rsidRPr="008F530F" w:rsidRDefault="00EE0D9F" w:rsidP="00825870">
            <w:pPr>
              <w:autoSpaceDE w:val="0"/>
              <w:autoSpaceDN w:val="0"/>
              <w:adjustRightInd w:val="0"/>
              <w:spacing w:after="0" w:line="240" w:lineRule="auto"/>
              <w:rPr>
                <w:rFonts w:ascii="Times New Roman" w:hAnsi="Times New Roman" w:cs="Times New Roman"/>
                <w:color w:val="000000"/>
                <w:sz w:val="23"/>
                <w:szCs w:val="23"/>
              </w:rPr>
            </w:pPr>
            <w:r w:rsidRPr="008F530F">
              <w:rPr>
                <w:rFonts w:ascii="Times New Roman" w:hAnsi="Times New Roman" w:cs="Times New Roman"/>
                <w:color w:val="000000"/>
                <w:sz w:val="23"/>
                <w:szCs w:val="23"/>
              </w:rPr>
              <w:t xml:space="preserve">Gangbroer som er højst 1 m over terræn og uden overdækning </w:t>
            </w:r>
          </w:p>
        </w:tc>
      </w:tr>
      <w:tr w:rsidR="00EE0D9F" w:rsidRPr="008F530F" w:rsidTr="00825870">
        <w:trPr>
          <w:trHeight w:val="534"/>
        </w:trPr>
        <w:tc>
          <w:tcPr>
            <w:tcW w:w="9946" w:type="dxa"/>
          </w:tcPr>
          <w:p w:rsidR="00EE0D9F" w:rsidRDefault="00EE0D9F" w:rsidP="00825870">
            <w:pPr>
              <w:autoSpaceDE w:val="0"/>
              <w:autoSpaceDN w:val="0"/>
              <w:adjustRightInd w:val="0"/>
              <w:spacing w:after="0" w:line="240" w:lineRule="auto"/>
              <w:rPr>
                <w:rFonts w:ascii="Times New Roman" w:hAnsi="Times New Roman" w:cs="Times New Roman"/>
                <w:b/>
                <w:bCs/>
                <w:color w:val="000000"/>
                <w:sz w:val="23"/>
                <w:szCs w:val="23"/>
              </w:rPr>
            </w:pPr>
          </w:p>
          <w:p w:rsidR="00EE0D9F" w:rsidRPr="008F530F" w:rsidRDefault="00EE0D9F" w:rsidP="00825870">
            <w:pPr>
              <w:autoSpaceDE w:val="0"/>
              <w:autoSpaceDN w:val="0"/>
              <w:adjustRightInd w:val="0"/>
              <w:spacing w:after="0" w:line="240" w:lineRule="auto"/>
              <w:rPr>
                <w:rFonts w:ascii="Times New Roman" w:hAnsi="Times New Roman" w:cs="Times New Roman"/>
                <w:color w:val="000000"/>
                <w:sz w:val="23"/>
                <w:szCs w:val="23"/>
              </w:rPr>
            </w:pPr>
            <w:r w:rsidRPr="008F530F">
              <w:rPr>
                <w:rFonts w:ascii="Times New Roman" w:hAnsi="Times New Roman" w:cs="Times New Roman"/>
                <w:b/>
                <w:bCs/>
                <w:color w:val="000000"/>
                <w:sz w:val="23"/>
                <w:szCs w:val="23"/>
              </w:rPr>
              <w:t xml:space="preserve">Skurvogne, </w:t>
            </w:r>
            <w:proofErr w:type="spellStart"/>
            <w:r w:rsidRPr="008F530F">
              <w:rPr>
                <w:rFonts w:ascii="Times New Roman" w:hAnsi="Times New Roman" w:cs="Times New Roman"/>
                <w:b/>
                <w:bCs/>
                <w:color w:val="000000"/>
                <w:sz w:val="23"/>
                <w:szCs w:val="23"/>
              </w:rPr>
              <w:t>letvogne</w:t>
            </w:r>
            <w:proofErr w:type="spellEnd"/>
            <w:r w:rsidRPr="008F530F">
              <w:rPr>
                <w:rFonts w:ascii="Times New Roman" w:hAnsi="Times New Roman" w:cs="Times New Roman"/>
                <w:b/>
                <w:bCs/>
                <w:color w:val="000000"/>
                <w:sz w:val="23"/>
                <w:szCs w:val="23"/>
              </w:rPr>
              <w:t xml:space="preserve">, containere og lign., konstruktioner med ydervægge af fast materiale (træ, stål, mv.) </w:t>
            </w:r>
          </w:p>
          <w:p w:rsidR="00EE0D9F" w:rsidRPr="008F530F" w:rsidRDefault="00EE0D9F" w:rsidP="00825870">
            <w:pPr>
              <w:autoSpaceDE w:val="0"/>
              <w:autoSpaceDN w:val="0"/>
              <w:adjustRightInd w:val="0"/>
              <w:spacing w:after="0" w:line="240" w:lineRule="auto"/>
              <w:rPr>
                <w:rFonts w:ascii="Times New Roman" w:hAnsi="Times New Roman" w:cs="Times New Roman"/>
                <w:color w:val="000000"/>
                <w:sz w:val="23"/>
                <w:szCs w:val="23"/>
              </w:rPr>
            </w:pPr>
            <w:r w:rsidRPr="008F530F">
              <w:rPr>
                <w:rFonts w:ascii="Times New Roman" w:hAnsi="Times New Roman" w:cs="Times New Roman"/>
                <w:color w:val="000000"/>
                <w:sz w:val="23"/>
                <w:szCs w:val="23"/>
              </w:rPr>
              <w:t xml:space="preserve">(Uanset om konstruktionen er på hjul eller ej, og uanset om konstruktionen anvendes til overnatning eller ej) </w:t>
            </w:r>
          </w:p>
        </w:tc>
      </w:tr>
    </w:tbl>
    <w:p w:rsidR="00EE0D9F" w:rsidRDefault="00EE0D9F" w:rsidP="0018050F">
      <w:pPr>
        <w:jc w:val="center"/>
        <w:rPr>
          <w:b/>
          <w:sz w:val="32"/>
          <w:szCs w:val="32"/>
        </w:rPr>
      </w:pPr>
    </w:p>
    <w:p w:rsidR="00EE0D9F" w:rsidRDefault="00EE0D9F" w:rsidP="0018050F">
      <w:pPr>
        <w:jc w:val="center"/>
        <w:rPr>
          <w:b/>
          <w:sz w:val="32"/>
          <w:szCs w:val="32"/>
        </w:rPr>
      </w:pPr>
    </w:p>
    <w:p w:rsidR="00EE0D9F" w:rsidRDefault="00EE0D9F" w:rsidP="0018050F">
      <w:pPr>
        <w:jc w:val="center"/>
        <w:rPr>
          <w:b/>
          <w:sz w:val="32"/>
          <w:szCs w:val="32"/>
        </w:rPr>
      </w:pPr>
    </w:p>
    <w:p w:rsidR="00EE0D9F" w:rsidRDefault="00EE0D9F" w:rsidP="0018050F">
      <w:pPr>
        <w:jc w:val="center"/>
        <w:rPr>
          <w:b/>
          <w:sz w:val="32"/>
          <w:szCs w:val="32"/>
        </w:rPr>
      </w:pPr>
    </w:p>
    <w:p w:rsidR="00EE0D9F" w:rsidRDefault="00EE0D9F" w:rsidP="0018050F">
      <w:pPr>
        <w:jc w:val="center"/>
        <w:rPr>
          <w:b/>
          <w:sz w:val="32"/>
          <w:szCs w:val="32"/>
        </w:rPr>
      </w:pPr>
    </w:p>
    <w:p w:rsidR="00EE0D9F" w:rsidRDefault="00EE0D9F" w:rsidP="0018050F">
      <w:pPr>
        <w:jc w:val="center"/>
        <w:rPr>
          <w:b/>
          <w:sz w:val="32"/>
          <w:szCs w:val="32"/>
        </w:rPr>
      </w:pPr>
    </w:p>
    <w:p w:rsidR="00EE0D9F" w:rsidRDefault="00EE0D9F" w:rsidP="0018050F">
      <w:pPr>
        <w:jc w:val="center"/>
        <w:rPr>
          <w:b/>
          <w:sz w:val="32"/>
          <w:szCs w:val="32"/>
        </w:rPr>
      </w:pPr>
    </w:p>
    <w:p w:rsidR="00EE0D9F" w:rsidRDefault="00EE0D9F" w:rsidP="0018050F">
      <w:pPr>
        <w:jc w:val="center"/>
        <w:rPr>
          <w:b/>
          <w:sz w:val="32"/>
          <w:szCs w:val="32"/>
        </w:rPr>
      </w:pPr>
    </w:p>
    <w:p w:rsidR="00EE0D9F" w:rsidRDefault="00EE0D9F" w:rsidP="0018050F">
      <w:pPr>
        <w:jc w:val="center"/>
        <w:rPr>
          <w:b/>
          <w:sz w:val="32"/>
          <w:szCs w:val="32"/>
        </w:rPr>
      </w:pPr>
    </w:p>
    <w:p w:rsidR="002645E3" w:rsidRDefault="002645E3" w:rsidP="0018050F">
      <w:pPr>
        <w:jc w:val="center"/>
        <w:rPr>
          <w:b/>
          <w:sz w:val="32"/>
          <w:szCs w:val="32"/>
        </w:rPr>
      </w:pPr>
      <w:r>
        <w:rPr>
          <w:b/>
          <w:sz w:val="32"/>
          <w:szCs w:val="32"/>
        </w:rPr>
        <w:lastRenderedPageBreak/>
        <w:t>UDDRAG FRA:</w:t>
      </w:r>
    </w:p>
    <w:p w:rsidR="0018050F" w:rsidRDefault="0018050F" w:rsidP="0018050F">
      <w:pPr>
        <w:jc w:val="center"/>
        <w:rPr>
          <w:b/>
          <w:sz w:val="32"/>
          <w:szCs w:val="32"/>
        </w:rPr>
      </w:pPr>
      <w:r>
        <w:rPr>
          <w:b/>
          <w:sz w:val="32"/>
          <w:szCs w:val="32"/>
        </w:rPr>
        <w:t>Brandr</w:t>
      </w:r>
      <w:r w:rsidRPr="0018050F">
        <w:rPr>
          <w:b/>
          <w:sz w:val="32"/>
          <w:szCs w:val="32"/>
        </w:rPr>
        <w:t>egler i vejledning om opstilling af transportable telte og konstruktioner, herunder tribuner, scener, messestande, portaler, tårne m.m. og indretning af salgsarealer og midlertidige campingpladser</w:t>
      </w:r>
      <w:r>
        <w:rPr>
          <w:b/>
          <w:sz w:val="32"/>
          <w:szCs w:val="32"/>
        </w:rPr>
        <w:t>, juli 2016</w:t>
      </w:r>
      <w:r w:rsidR="00846089">
        <w:rPr>
          <w:b/>
          <w:sz w:val="32"/>
          <w:szCs w:val="32"/>
        </w:rPr>
        <w:t xml:space="preserve"> </w:t>
      </w:r>
    </w:p>
    <w:p w:rsidR="00846089" w:rsidRPr="0018050F" w:rsidRDefault="00846089" w:rsidP="0018050F">
      <w:pPr>
        <w:jc w:val="center"/>
        <w:rPr>
          <w:b/>
        </w:rPr>
      </w:pPr>
      <w:r w:rsidRPr="00846089">
        <w:rPr>
          <w:b/>
        </w:rPr>
        <w:t>Tidl. Vejledning om certificeringsordning og byggesagsbehandling af transportable telte og konstruktioner</w:t>
      </w:r>
    </w:p>
    <w:p w:rsidR="00846089" w:rsidRDefault="00846089" w:rsidP="0018050F">
      <w:pPr>
        <w:rPr>
          <w:b/>
          <w:bCs/>
        </w:rPr>
      </w:pPr>
    </w:p>
    <w:p w:rsidR="0018050F" w:rsidRPr="0018050F" w:rsidRDefault="0018050F" w:rsidP="0018050F">
      <w:r w:rsidRPr="0018050F">
        <w:rPr>
          <w:b/>
          <w:bCs/>
        </w:rPr>
        <w:t xml:space="preserve">8. Driftsmæssige foranstaltninger i forsamlingstelte og festival-, salgs- og campingområder </w:t>
      </w:r>
    </w:p>
    <w:p w:rsidR="0018050F" w:rsidRPr="0018050F" w:rsidRDefault="0018050F" w:rsidP="0018050F">
      <w:r w:rsidRPr="0018050F">
        <w:t xml:space="preserve">Reglerne om brandværnsforanstaltninger for forsamlingstelte og for festival-, salgs- og campingområder blev med ændring af byggeloven flyttet fra beredskabslovgivningen til byggeloven. De driftsmæssige krav til forsamlingstelte, festival-, salgs og campingområder reguleres derfor nu i kraft af byggeloven i BR15, kap. 1.3.5 og 1.3.6 samt ved funktionskrav i kapitel 5.1, stk. 4, og kap. 5.7. </w:t>
      </w:r>
    </w:p>
    <w:p w:rsidR="0018050F" w:rsidRPr="0018050F" w:rsidRDefault="0018050F" w:rsidP="0018050F">
      <w:r w:rsidRPr="0018050F">
        <w:t xml:space="preserve">Ændringen indebærer, at administration af de driftsmæssige krav til forsamlingstelte, festival-, salgs- og campingområder fremadrettet er omfattet af bygningsmyndighedens myndighedsopgave. Når transportable konstruktioner, festival-, salgs- eller campingområder anvendes af mere end 150 personer, eller er over en vis størrelse, udløser det krav om anmeldelse til eller godkendelse af kommunalbestyrelsen. </w:t>
      </w:r>
    </w:p>
    <w:p w:rsidR="0018050F" w:rsidRPr="0018050F" w:rsidRDefault="0018050F" w:rsidP="0018050F">
      <w:r w:rsidRPr="0018050F">
        <w:rPr>
          <w:b/>
          <w:bCs/>
        </w:rPr>
        <w:t xml:space="preserve">8.1 Transportable konstruktioner, der anvendes af mere end 150 personer </w:t>
      </w:r>
    </w:p>
    <w:p w:rsidR="00C4212D" w:rsidRDefault="0018050F" w:rsidP="0018050F">
      <w:r w:rsidRPr="0018050F">
        <w:t xml:space="preserve">Når der opstilles transportable konstruktioner, der skal anvendes af mere end 150 personer, skal dette altid anmeldes til kommunalbestyrelsen, jf. BR15, kap. 1.3.5.1, stk. 3. Kravet om anmeldelse til kommunalbestyrelsen gælder, uanset om en transportabel konstruktion er certificeret eller om der søges om byggetilladelse. Ved ansøgning om byggetilladelse, skal det fremgå af ansøgningen, hvornår en konstruktion skal opstilles, og hvor lang tid den forventes at blive stående. Når dette fremgår af ansøgningen, skal der ikke foretages yderligere anmeldelse til kommunalbestyrelsen i forbindelse med </w:t>
      </w:r>
      <w:proofErr w:type="spellStart"/>
      <w:r w:rsidRPr="0018050F">
        <w:t>ar-rangement</w:t>
      </w:r>
      <w:proofErr w:type="spellEnd"/>
      <w:r w:rsidRPr="0018050F">
        <w:t>, hvor den transportable konstruktion skal anvendes af mere end 150 personer. Det forudsættes således, at kommunalbestyrelsen orienteres tilstrækkeligt efter kap. 1.3.5.1, stk. 3, i forbindelse med ansøgning om byggetilladelse.</w:t>
      </w:r>
    </w:p>
    <w:p w:rsidR="00D45E86" w:rsidRPr="00D45E86" w:rsidRDefault="00D45E86" w:rsidP="00D45E86">
      <w:pPr>
        <w:rPr>
          <w:b/>
          <w:bCs/>
        </w:rPr>
      </w:pPr>
      <w:r w:rsidRPr="00D45E86">
        <w:rPr>
          <w:b/>
          <w:bCs/>
        </w:rPr>
        <w:t xml:space="preserve">8.3 Brandsyn </w:t>
      </w:r>
    </w:p>
    <w:p w:rsidR="00D45E86" w:rsidRPr="00D45E86" w:rsidRDefault="00D45E86" w:rsidP="00D45E86">
      <w:pPr>
        <w:rPr>
          <w:bCs/>
        </w:rPr>
      </w:pPr>
      <w:r w:rsidRPr="00D45E86">
        <w:rPr>
          <w:bCs/>
        </w:rPr>
        <w:t xml:space="preserve">Der skal fortsat foretages brandsyn efter bekendtgørelse om brandsyn og offentliggørelse af resultater af brandsyn i forsamlingslokaler. </w:t>
      </w:r>
    </w:p>
    <w:p w:rsidR="00020B21" w:rsidRPr="00D45E86" w:rsidRDefault="00D45E86" w:rsidP="00D45E86">
      <w:pPr>
        <w:rPr>
          <w:bCs/>
        </w:rPr>
      </w:pPr>
      <w:r w:rsidRPr="00D45E86">
        <w:rPr>
          <w:bCs/>
        </w:rPr>
        <w:t>Du skal også være opmærksom på, at ved afholdelse af koncert, festival eller en anden event, skal begivenheden anmeldes til politiet efter reglerne i bekendtgørelse om offentlige forlystelser.</w:t>
      </w:r>
    </w:p>
    <w:p w:rsidR="00D45E86" w:rsidRDefault="00D45E86" w:rsidP="00020B21">
      <w:pPr>
        <w:rPr>
          <w:b/>
          <w:sz w:val="28"/>
          <w:szCs w:val="28"/>
        </w:rPr>
      </w:pPr>
    </w:p>
    <w:p w:rsidR="00D45E86" w:rsidRDefault="00D45E86" w:rsidP="00020B21">
      <w:pPr>
        <w:rPr>
          <w:b/>
          <w:sz w:val="28"/>
          <w:szCs w:val="28"/>
        </w:rPr>
      </w:pPr>
    </w:p>
    <w:p w:rsidR="00D45E86" w:rsidRDefault="00D45E86" w:rsidP="00020B21">
      <w:pPr>
        <w:rPr>
          <w:b/>
          <w:sz w:val="28"/>
          <w:szCs w:val="28"/>
        </w:rPr>
      </w:pPr>
    </w:p>
    <w:p w:rsidR="00D45E86" w:rsidRDefault="00D45E86" w:rsidP="00020B21">
      <w:pPr>
        <w:rPr>
          <w:b/>
          <w:sz w:val="28"/>
          <w:szCs w:val="28"/>
        </w:rPr>
      </w:pPr>
    </w:p>
    <w:p w:rsidR="00020B21" w:rsidRPr="00D45E86" w:rsidRDefault="00020B21" w:rsidP="00020B21">
      <w:pPr>
        <w:rPr>
          <w:b/>
          <w:sz w:val="28"/>
          <w:szCs w:val="28"/>
        </w:rPr>
      </w:pPr>
      <w:r w:rsidRPr="00D45E86">
        <w:rPr>
          <w:b/>
          <w:sz w:val="28"/>
          <w:szCs w:val="28"/>
        </w:rPr>
        <w:t>DEL 2</w:t>
      </w:r>
    </w:p>
    <w:p w:rsidR="0018050F" w:rsidRPr="0018050F" w:rsidRDefault="0018050F" w:rsidP="0018050F">
      <w:r w:rsidRPr="0018050F">
        <w:rPr>
          <w:b/>
          <w:bCs/>
        </w:rPr>
        <w:t xml:space="preserve">4 Brandforhold </w:t>
      </w:r>
    </w:p>
    <w:p w:rsidR="0018050F" w:rsidRPr="0018050F" w:rsidRDefault="0018050F" w:rsidP="0018050F">
      <w:r w:rsidRPr="0018050F">
        <w:rPr>
          <w:b/>
          <w:bCs/>
        </w:rPr>
        <w:t xml:space="preserve">4.1 Indledning </w:t>
      </w:r>
    </w:p>
    <w:p w:rsidR="0018050F" w:rsidRPr="0018050F" w:rsidRDefault="0018050F" w:rsidP="0018050F">
      <w:r w:rsidRPr="0018050F">
        <w:t xml:space="preserve">Byggelovens brandbestemmelser tager udgangspunkt i personsikkerhed. Bestemmelserne skal sikre mulighed for evakuering af personer, hvilket også afspejles i bestemmelserne i BR15, kapitel 5, som vedrører brandforhold. </w:t>
      </w:r>
    </w:p>
    <w:p w:rsidR="0018050F" w:rsidRPr="0018050F" w:rsidRDefault="0018050F" w:rsidP="0018050F">
      <w:r w:rsidRPr="0018050F">
        <w:t xml:space="preserve">Bestemmelserne i BR15, kapitel 5, er funktionsbaserede brandkrav, der beskriver det sikkerhedsniveau, som i tilfælde af brand skal opnås. Dermed beskriver kravene intentionerne, men ikke hvordan kravene kan opfyldes. </w:t>
      </w:r>
    </w:p>
    <w:p w:rsidR="0018050F" w:rsidRPr="0018050F" w:rsidRDefault="0018050F" w:rsidP="0018050F">
      <w:r w:rsidRPr="0018050F">
        <w:t xml:space="preserve">Dette afsnit beskriver de relevante brandkrav for en række transportable konstruktioner, samt eksempler på hvorledes kravene kan opfyldes. Eksemplerne i denne vejledning er kun eksempler, og dokumentation af, at kravene opfyldes, kan til enhver tid foretages på anden vis. Dette kan fx ske ved brug af eksemplerne i </w:t>
      </w:r>
      <w:r w:rsidRPr="0018050F">
        <w:rPr>
          <w:i/>
          <w:iCs/>
        </w:rPr>
        <w:t>Eksempelsamling om brandsikring af byggeri, 2012, 2. udgave 2016</w:t>
      </w:r>
      <w:r w:rsidRPr="0018050F">
        <w:t xml:space="preserve">, en brandteknisk dimensionering baseret på de konkrete forhold, en brandprøvning, en konkret vurdering i det enkelte tilfælde baseret på erfaringer mv. </w:t>
      </w:r>
    </w:p>
    <w:p w:rsidR="0018050F" w:rsidRPr="0018050F" w:rsidRDefault="0018050F" w:rsidP="0018050F">
      <w:r w:rsidRPr="0018050F">
        <w:t xml:space="preserve">I det efterfølgende behandles de forskellige typer af transportable konstruktioner enkeltvis. Ved kombination af forskellige typer transportable konstruktioner kan der forekomme supplerende forhold, som må behandles individuelt, med mindre kombinationen direkte er behandlet i denne vejledning. </w:t>
      </w:r>
    </w:p>
    <w:p w:rsidR="0018050F" w:rsidRPr="0018050F" w:rsidRDefault="0018050F" w:rsidP="0018050F">
      <w:r w:rsidRPr="0018050F">
        <w:t xml:space="preserve">Der er supplerende forhold relateret til driften, som ligeledes skal håndteres, inden konstruktionen kan anvendes. Disse krav fremgår af BR15, kap. 5.1, stk. 4. </w:t>
      </w:r>
    </w:p>
    <w:p w:rsidR="0018050F" w:rsidRPr="0018050F" w:rsidRDefault="0018050F" w:rsidP="0018050F">
      <w:r w:rsidRPr="0018050F">
        <w:t xml:space="preserve">Desuden vil forsamlingstelte, selskabshuse, salgsområder og campingområder, der ikke er omfattet af campingreglementet være omfattet af beredskabsstyrelsens bekendtgørelse om brandsyn og offentliggørelse af resultater af brandsyn foretaget i forsamlingslokaler. </w:t>
      </w:r>
    </w:p>
    <w:p w:rsidR="0018050F" w:rsidRPr="0018050F" w:rsidRDefault="0018050F" w:rsidP="0018050F">
      <w:r w:rsidRPr="0018050F">
        <w:rPr>
          <w:b/>
          <w:bCs/>
        </w:rPr>
        <w:t xml:space="preserve">4.2 Telte </w:t>
      </w:r>
    </w:p>
    <w:p w:rsidR="0018050F" w:rsidRPr="0018050F" w:rsidRDefault="0018050F" w:rsidP="0018050F">
      <w:r w:rsidRPr="0018050F">
        <w:t xml:space="preserve">Dette afsnit beskriver brandkrav til telte omfattet af byggeloven, som angivet i BR15, bilag 2, skema 1 og 2. </w:t>
      </w:r>
    </w:p>
    <w:p w:rsidR="0018050F" w:rsidRPr="0018050F" w:rsidRDefault="0018050F" w:rsidP="0018050F">
      <w:r w:rsidRPr="0018050F">
        <w:rPr>
          <w:b/>
          <w:bCs/>
        </w:rPr>
        <w:t xml:space="preserve">4.2.1 Generelt </w:t>
      </w:r>
    </w:p>
    <w:p w:rsidR="0018050F" w:rsidRPr="0018050F" w:rsidRDefault="0018050F" w:rsidP="0018050F">
      <w:r w:rsidRPr="0018050F">
        <w:t xml:space="preserve">De typer telte, der behandles, er følgende typer transportable telte: </w:t>
      </w:r>
    </w:p>
    <w:p w:rsidR="0018050F" w:rsidRPr="0018050F" w:rsidRDefault="0018050F" w:rsidP="00020B21">
      <w:pPr>
        <w:pStyle w:val="Listeafsnit"/>
        <w:numPr>
          <w:ilvl w:val="0"/>
          <w:numId w:val="25"/>
        </w:numPr>
      </w:pPr>
      <w:r w:rsidRPr="0018050F">
        <w:t xml:space="preserve">Telte til privat brug, der anvendes af flere end 150 personer, </w:t>
      </w:r>
    </w:p>
    <w:p w:rsidR="0018050F" w:rsidRPr="0018050F" w:rsidRDefault="0018050F" w:rsidP="00020B21">
      <w:pPr>
        <w:pStyle w:val="Listeafsnit"/>
        <w:numPr>
          <w:ilvl w:val="0"/>
          <w:numId w:val="25"/>
        </w:numPr>
      </w:pPr>
      <w:r w:rsidRPr="0018050F">
        <w:t xml:space="preserve">Andre telte, fx: </w:t>
      </w:r>
    </w:p>
    <w:p w:rsidR="0018050F" w:rsidRPr="0018050F" w:rsidRDefault="0018050F" w:rsidP="00020B21">
      <w:pPr>
        <w:pStyle w:val="Listeafsnit"/>
        <w:numPr>
          <w:ilvl w:val="0"/>
          <w:numId w:val="27"/>
        </w:numPr>
      </w:pPr>
      <w:r w:rsidRPr="0018050F">
        <w:t xml:space="preserve">Lagertelte på over 50 m2, der anvendes af højst 50 personer. </w:t>
      </w:r>
    </w:p>
    <w:p w:rsidR="0018050F" w:rsidRPr="0018050F" w:rsidRDefault="0018050F" w:rsidP="00020B21">
      <w:pPr>
        <w:pStyle w:val="Listeafsnit"/>
        <w:numPr>
          <w:ilvl w:val="0"/>
          <w:numId w:val="27"/>
        </w:numPr>
      </w:pPr>
      <w:r w:rsidRPr="0018050F">
        <w:t xml:space="preserve">Forsamlingstelte inkl. cirkustelte på over 50 m² </w:t>
      </w:r>
    </w:p>
    <w:p w:rsidR="0018050F" w:rsidRPr="0018050F" w:rsidRDefault="0018050F" w:rsidP="00020B21">
      <w:pPr>
        <w:pStyle w:val="Listeafsnit"/>
        <w:numPr>
          <w:ilvl w:val="0"/>
          <w:numId w:val="27"/>
        </w:numPr>
      </w:pPr>
      <w:r w:rsidRPr="0018050F">
        <w:t xml:space="preserve">Staldtelte på over 50 m2 </w:t>
      </w:r>
    </w:p>
    <w:p w:rsidR="0018050F" w:rsidRPr="0018050F" w:rsidRDefault="0018050F" w:rsidP="00020B21">
      <w:pPr>
        <w:pStyle w:val="Listeafsnit"/>
        <w:numPr>
          <w:ilvl w:val="0"/>
          <w:numId w:val="27"/>
        </w:numPr>
      </w:pPr>
      <w:r w:rsidRPr="0018050F">
        <w:t xml:space="preserve">Salgsområder i forbindelse med festivaler, markeder, dyrskuer og lignende. </w:t>
      </w:r>
    </w:p>
    <w:p w:rsidR="0018050F" w:rsidRPr="0018050F" w:rsidRDefault="0018050F" w:rsidP="0018050F">
      <w:r w:rsidRPr="0018050F">
        <w:t xml:space="preserve">I BR15 defineres 6 forskellige anvendelseskategorier ud fra en række kriterier vedrørende risikoforhold under brand. Disse kriterier er bl.a. konsekvensen af en brand, herunder antal personer som kan blive påvirket af en brand, og personernes mobilitet samt evne til at erkende og reagere på en brand. Når </w:t>
      </w:r>
      <w:r w:rsidRPr="0018050F">
        <w:lastRenderedPageBreak/>
        <w:t xml:space="preserve">antallet af personer i et bygningsafsnit skal fastlægges, bør der ses på hvert enkelt telt uanset afstanden mellem teltene. </w:t>
      </w:r>
    </w:p>
    <w:p w:rsidR="0018050F" w:rsidRPr="0018050F" w:rsidRDefault="0018050F" w:rsidP="0018050F">
      <w:r w:rsidRPr="0018050F">
        <w:t xml:space="preserve">Der anvises i BR15, kap. 5.1.1, eksempler på hvilke anvendelseskategorier, der kan anvendes for en række forskellige typer bygninger. For telte gælder, at forsamlingstelte, cirkustelte og andre telte indrettet til mere end 50 personer typisk vil tilhøre anvendelseskategori 3. Hvor teltene er indrettet til dagophold for færre end 50 personer, vil de typisk tilhøre anvendelseskategori 1, og telte, der indrettes til overnatning, vil tilhøre anvendelseskategori 5. </w:t>
      </w:r>
    </w:p>
    <w:p w:rsidR="0018050F" w:rsidRPr="0018050F" w:rsidRDefault="0018050F" w:rsidP="0018050F">
      <w:r w:rsidRPr="0018050F">
        <w:t xml:space="preserve">Eksemplerne, angivet i de følgende afsnit, omhandler udelukkende telte i én etage med op til én indskudt etage. Endvidere forudsættes det, at telte indrettet til overnatning maksimalt benyttes af op til 20 personer. Dokumentation af, at sikkerhedsniveauet i BR15 er til stede for andre typer telte, må baseres på en konkret vurdering i det enkelte tilfælde. </w:t>
      </w:r>
    </w:p>
    <w:p w:rsidR="0018050F" w:rsidRPr="0018050F" w:rsidRDefault="0018050F" w:rsidP="0018050F">
      <w:r w:rsidRPr="0018050F">
        <w:rPr>
          <w:b/>
          <w:bCs/>
        </w:rPr>
        <w:t xml:space="preserve">4.2.2 Placering på grunden </w:t>
      </w:r>
    </w:p>
    <w:p w:rsidR="0018050F" w:rsidRPr="0018050F" w:rsidRDefault="0018050F" w:rsidP="0018050F">
      <w:r w:rsidRPr="0018050F">
        <w:t xml:space="preserve">Placering af et telt på en grund skal tilgodese sikring mod brandspredning til andre bygninger og/eller telte, og placeringen skal sikre, at redningsberedskabet kan komme frem til teltet for at foretage deres indsats. </w:t>
      </w:r>
    </w:p>
    <w:p w:rsidR="0018050F" w:rsidRPr="0018050F" w:rsidRDefault="0018050F" w:rsidP="0018050F">
      <w:r w:rsidRPr="0018050F">
        <w:t xml:space="preserve">Sikring mod brandspredning tilgodeses normalt gennem valg af udvendig beklædninger (her type af teltdug), og afstande til andre telte/bygninger samt afstand til naboskel, sti- og vejmidte. </w:t>
      </w:r>
    </w:p>
    <w:p w:rsidR="0018050F" w:rsidRDefault="0018050F" w:rsidP="0018050F">
      <w:r w:rsidRPr="0018050F">
        <w:t>Udgangspunktet for bestemmelse af afstandsforhold vil være, at telte svarer til bygninger med en udvendig beklædning, der er ringere end klasse K1 10 B-s1,d0 [klasse 1].</w:t>
      </w:r>
    </w:p>
    <w:p w:rsidR="004565B2" w:rsidRPr="004565B2" w:rsidRDefault="004565B2" w:rsidP="004565B2">
      <w:r w:rsidRPr="004565B2">
        <w:t xml:space="preserve">Hvor teltdugen er klassificeret som brandteknisk egnet (se også afsnit 4.1.4), kan følgende afstandsforhold benyttes: </w:t>
      </w:r>
    </w:p>
    <w:p w:rsidR="004565B2" w:rsidRPr="004565B2" w:rsidRDefault="004565B2" w:rsidP="004565B2">
      <w:r w:rsidRPr="004565B2">
        <w:t xml:space="preserve">Forsamlingstelte indrettet til </w:t>
      </w:r>
      <w:r w:rsidRPr="006967CB">
        <w:rPr>
          <w:b/>
        </w:rPr>
        <w:t>maksimalt</w:t>
      </w:r>
      <w:r w:rsidRPr="004565B2">
        <w:t xml:space="preserve"> 150 personer placeres </w:t>
      </w:r>
    </w:p>
    <w:p w:rsidR="004565B2" w:rsidRPr="006967CB" w:rsidRDefault="004565B2" w:rsidP="004565B2">
      <w:pPr>
        <w:pStyle w:val="Listeafsnit"/>
        <w:numPr>
          <w:ilvl w:val="0"/>
          <w:numId w:val="28"/>
        </w:numPr>
      </w:pPr>
      <w:r w:rsidRPr="006967CB">
        <w:t xml:space="preserve">Mindst 5 m fra bygninger med andet tag end stråtag placeret på anden grund. </w:t>
      </w:r>
    </w:p>
    <w:p w:rsidR="004565B2" w:rsidRPr="006967CB" w:rsidRDefault="004565B2" w:rsidP="004565B2">
      <w:pPr>
        <w:pStyle w:val="Listeafsnit"/>
        <w:numPr>
          <w:ilvl w:val="0"/>
          <w:numId w:val="28"/>
        </w:numPr>
      </w:pPr>
      <w:r w:rsidRPr="006967CB">
        <w:t xml:space="preserve">Mindst 12,5 m fra bygninger med stråtag placeret på anden grund </w:t>
      </w:r>
    </w:p>
    <w:p w:rsidR="004565B2" w:rsidRPr="004565B2" w:rsidRDefault="004565B2" w:rsidP="004565B2">
      <w:r w:rsidRPr="004565B2">
        <w:t xml:space="preserve">Dette gælder dog ikke i forhold til mindre bygninger så som garager, carporte, udhuse og lignende, der iht. BR15 kan være opført i eller nærmere naboskel eller sti end 2,5 m. </w:t>
      </w:r>
    </w:p>
    <w:p w:rsidR="004565B2" w:rsidRPr="004565B2" w:rsidRDefault="004565B2" w:rsidP="004565B2">
      <w:r w:rsidRPr="004565B2">
        <w:t xml:space="preserve">Større mængder brandfarligt oplag så som halm, brandfarlig emballage og affald kan udgøre en risiko for brandspredning. Denne type oplag bør placeres mindst 10 m fra telte. </w:t>
      </w:r>
    </w:p>
    <w:p w:rsidR="004565B2" w:rsidRPr="004565B2" w:rsidRDefault="004565B2" w:rsidP="004565B2">
      <w:r w:rsidRPr="004565B2">
        <w:t xml:space="preserve">Øvrige telte samt telte til </w:t>
      </w:r>
      <w:r w:rsidRPr="006967CB">
        <w:rPr>
          <w:b/>
        </w:rPr>
        <w:t>mere</w:t>
      </w:r>
      <w:r w:rsidRPr="006967CB">
        <w:rPr>
          <w:u w:val="single"/>
        </w:rPr>
        <w:t xml:space="preserve"> </w:t>
      </w:r>
      <w:r w:rsidRPr="004565B2">
        <w:t xml:space="preserve">end 150 personer, bør opstilles mindst </w:t>
      </w:r>
      <w:r w:rsidRPr="006967CB">
        <w:t>5 m fra naboskel, vej- eller stimidte og mindst 10 m fra andre bygninger, dog 12,5 m fra bygninger med stråtag.</w:t>
      </w:r>
      <w:r w:rsidRPr="004565B2">
        <w:t xml:space="preserve"> Forsamlingsteltene bør endvidere placeres i en afstand af mindst 5 m fra mindre telte og selskabshuse, der indrettes til køkken, garderobe og andre servicefunktioner, såfremt det samlede areal af teltene og selskabshusene overstiger 1.000 m2. </w:t>
      </w:r>
    </w:p>
    <w:p w:rsidR="004565B2" w:rsidRPr="004565B2" w:rsidRDefault="004565B2" w:rsidP="004565B2">
      <w:r w:rsidRPr="004565B2">
        <w:t xml:space="preserve">Andre afstande vil kunne accepteres på baggrund af en konkret analyse af muligheden for brandspredning internt i enheden. </w:t>
      </w:r>
    </w:p>
    <w:p w:rsidR="004565B2" w:rsidRPr="004565B2" w:rsidRDefault="004565B2" w:rsidP="004565B2">
      <w:r w:rsidRPr="004565B2">
        <w:t xml:space="preserve">Afstande til telte måles som afstanden til teltdugen. </w:t>
      </w:r>
    </w:p>
    <w:p w:rsidR="004565B2" w:rsidRPr="004565B2" w:rsidRDefault="004565B2" w:rsidP="004565B2">
      <w:r w:rsidRPr="004565B2">
        <w:t xml:space="preserve">Ved placeringen skal man i øvrigt være opmærksom på, at teltet ikke hindrer brug af flugtveje fra andre bygninger. </w:t>
      </w:r>
    </w:p>
    <w:p w:rsidR="004565B2" w:rsidRPr="004565B2" w:rsidRDefault="004565B2" w:rsidP="004565B2">
      <w:r w:rsidRPr="004565B2">
        <w:lastRenderedPageBreak/>
        <w:t>Ved opstilling af</w:t>
      </w:r>
      <w:r w:rsidR="006967CB">
        <w:t xml:space="preserve"> (</w:t>
      </w:r>
      <w:r w:rsidR="006967CB" w:rsidRPr="006967CB">
        <w:rPr>
          <w:i/>
        </w:rPr>
        <w:t>telte i???</w:t>
      </w:r>
      <w:r w:rsidR="006967CB">
        <w:t>)</w:t>
      </w:r>
      <w:r w:rsidRPr="004565B2">
        <w:t xml:space="preserve"> salgsområder bør det sikres, at branden kan begrænses til det enkelte område. Dette kan baseres på eventuelle muligheder for at udføre en førsteindsats på området og opdeling af salgsområderne. </w:t>
      </w:r>
    </w:p>
    <w:p w:rsidR="004565B2" w:rsidRPr="004565B2" w:rsidRDefault="004565B2" w:rsidP="004565B2">
      <w:r w:rsidRPr="004565B2">
        <w:t>For at sikre at redningsberedskabet kan komme frem til telte og salgsområder og på grund af motorkøretøjernes størrelse og slangernes længde, vil det normalt være tilstrækkeligt, hvis der er under 40 m målt i ganglinjen fra udgangene fra et telt/salgsområde til en tilstrækkelig bred befæstet kørevej. En kørevej bør normalt være mindst 2,8 m bred og befæstet til tung trafik svarende til</w:t>
      </w:r>
      <w:r w:rsidR="006967CB">
        <w:t xml:space="preserve"> </w:t>
      </w:r>
      <w:r w:rsidRPr="004565B2">
        <w:t xml:space="preserve">brandredningskøretøjer. En almindelig offentlig vej vil sædvanligvis opfylde dette. </w:t>
      </w:r>
    </w:p>
    <w:p w:rsidR="004565B2" w:rsidRPr="004565B2" w:rsidRDefault="004565B2" w:rsidP="004565B2">
      <w:r w:rsidRPr="004565B2">
        <w:t xml:space="preserve">Ved certificering af telte er den konkrete placering af teltet på grunden ikke kendt. Kriterier, der relaterer sig hertil, skal fremgå af inspektionsrapporten og bør desuden fremgå af opstillingsvejledningen således, at teltet placeres korrekt på grunden. </w:t>
      </w:r>
    </w:p>
    <w:p w:rsidR="004565B2" w:rsidRPr="004565B2" w:rsidRDefault="004565B2" w:rsidP="004565B2">
      <w:r w:rsidRPr="004565B2">
        <w:t xml:space="preserve">Konkrete afstandskrav skal ikke fremgå af certifikatet, da placeringen af konstruktionen ikke kendes på certificeringstidspunktet. Det er altså alene krav, der relaterer sig til den konkrete konstruktion, der skal fremgå af certifikatet. </w:t>
      </w:r>
    </w:p>
    <w:p w:rsidR="004565B2" w:rsidRPr="004565B2" w:rsidRDefault="004565B2" w:rsidP="004565B2">
      <w:r w:rsidRPr="004565B2">
        <w:rPr>
          <w:b/>
          <w:bCs/>
        </w:rPr>
        <w:t xml:space="preserve">4.2.3 Flugtvejsforhold i telte </w:t>
      </w:r>
    </w:p>
    <w:p w:rsidR="004565B2" w:rsidRPr="004565B2" w:rsidRDefault="004565B2" w:rsidP="004565B2">
      <w:r w:rsidRPr="004565B2">
        <w:t xml:space="preserve">Formålet med flugtveje er, at de personer, der opholder sig i bygningen, så hurtigt som muligt kan komme i sikkerhed i eller uden for bygningen i tilfælde af brand, enten ved egen eller ved andres (typisk redningsberedskabets) hjælp. </w:t>
      </w:r>
    </w:p>
    <w:p w:rsidR="004565B2" w:rsidRPr="004565B2" w:rsidRDefault="004565B2" w:rsidP="004565B2">
      <w:r w:rsidRPr="004565B2">
        <w:t xml:space="preserve">I BR15 foreskrives følgende forhold omkring flugtveje, der er relevante for telte: </w:t>
      </w:r>
    </w:p>
    <w:p w:rsidR="004565B2" w:rsidRPr="004565B2" w:rsidRDefault="004565B2" w:rsidP="006967CB">
      <w:pPr>
        <w:pStyle w:val="Listeafsnit"/>
        <w:numPr>
          <w:ilvl w:val="0"/>
          <w:numId w:val="29"/>
        </w:numPr>
      </w:pPr>
      <w:r w:rsidRPr="004565B2">
        <w:t xml:space="preserve">Kapitel 5.2, stk. 1: </w:t>
      </w:r>
      <w:r w:rsidRPr="006967CB">
        <w:rPr>
          <w:i/>
          <w:iCs/>
        </w:rPr>
        <w:t>en bygning udformes og konstrueres på en sådan måde, at evakuering kan ske via flugtveje eller direkte til det fri fra et vilkårligt sted i bygningen. Evakuering skal ske til terræn i det fri</w:t>
      </w:r>
      <w:r w:rsidRPr="004565B2">
        <w:t xml:space="preserve">. </w:t>
      </w:r>
    </w:p>
    <w:p w:rsidR="004565B2" w:rsidRPr="004565B2" w:rsidRDefault="004565B2" w:rsidP="006967CB">
      <w:pPr>
        <w:pStyle w:val="Listeafsnit"/>
        <w:numPr>
          <w:ilvl w:val="0"/>
          <w:numId w:val="29"/>
        </w:numPr>
      </w:pPr>
      <w:r w:rsidRPr="004565B2">
        <w:t xml:space="preserve">Kapitel 5.2, stk. 2: </w:t>
      </w:r>
      <w:r w:rsidRPr="006967CB">
        <w:rPr>
          <w:i/>
          <w:iCs/>
        </w:rPr>
        <w:t xml:space="preserve">Flugtveje skal være lette at identificere, nå og anvende </w:t>
      </w:r>
    </w:p>
    <w:p w:rsidR="004565B2" w:rsidRPr="004565B2" w:rsidRDefault="004565B2" w:rsidP="006967CB">
      <w:pPr>
        <w:pStyle w:val="Listeafsnit"/>
        <w:numPr>
          <w:ilvl w:val="0"/>
          <w:numId w:val="29"/>
        </w:numPr>
      </w:pPr>
      <w:r w:rsidRPr="004565B2">
        <w:t xml:space="preserve">Kapitel 5.2 stk. 3: </w:t>
      </w:r>
      <w:r w:rsidRPr="006967CB">
        <w:rPr>
          <w:i/>
          <w:iCs/>
        </w:rPr>
        <w:t>Udgange og flugtveje skal dimensioneres til de personer, som udgangene og flugtvejene skal betjene. Døre i flugtveje skal i bygningens brugstid være lette at åbne uden brug af nøgle eller værktøj</w:t>
      </w:r>
      <w:r w:rsidRPr="004565B2">
        <w:t xml:space="preserve">. </w:t>
      </w:r>
    </w:p>
    <w:p w:rsidR="004565B2" w:rsidRPr="004565B2" w:rsidRDefault="004565B2" w:rsidP="006967CB">
      <w:pPr>
        <w:pStyle w:val="Listeafsnit"/>
        <w:numPr>
          <w:ilvl w:val="0"/>
          <w:numId w:val="29"/>
        </w:numPr>
      </w:pPr>
      <w:r w:rsidRPr="004565B2">
        <w:t xml:space="preserve">Kapitel 5.2 stk. 4: </w:t>
      </w:r>
      <w:r w:rsidRPr="006967CB">
        <w:rPr>
          <w:i/>
          <w:iCs/>
        </w:rPr>
        <w:t>I det tidsrum, hvor flugtvejene skal anvendes til evakuering, må der ikke forekomme temperaturer, røgkoncentrationer, varmestråling eller andre forhold, som hindrer evakueringen</w:t>
      </w:r>
      <w:r w:rsidRPr="004565B2">
        <w:t xml:space="preserve">. </w:t>
      </w:r>
    </w:p>
    <w:p w:rsidR="004565B2" w:rsidRPr="004565B2" w:rsidRDefault="004565B2" w:rsidP="006967CB">
      <w:pPr>
        <w:pStyle w:val="Listeafsnit"/>
        <w:numPr>
          <w:ilvl w:val="0"/>
          <w:numId w:val="29"/>
        </w:numPr>
      </w:pPr>
      <w:r w:rsidRPr="004565B2">
        <w:t xml:space="preserve">Flugtveje skal opfylde bestemmelserne i kapitel 3.2, om adgangsforhold. </w:t>
      </w:r>
    </w:p>
    <w:p w:rsidR="004565B2" w:rsidRPr="004565B2" w:rsidRDefault="004565B2" w:rsidP="004565B2">
      <w:r w:rsidRPr="004565B2">
        <w:t xml:space="preserve">I traditionelle bygninger vil flugtvejssystemet typisk bestå af gangarealer, beskyttede gange og trapper, der fører til udgange til terræn i det fri. For telte vil det normalt ikke være muligt at etablere brandtekniske adskillelser, der kan give den nødvendige beskyttelse af gangarealer og trapper. Til gengæld vil flugtvejene oftest være mere logiske end i andre større traditionelle bygninger. Flugtvejssystemet i telte vil derfor sædvanligvis bestå af passager/gangarealer, der fører fra opholdsområder til udgange til det fri. I disse passager/gangarealer kan der tillige være ramper og/eller trapper, der fx fører fra tribuner eller indskudte etager. </w:t>
      </w:r>
    </w:p>
    <w:p w:rsidR="004565B2" w:rsidRPr="004565B2" w:rsidRDefault="004565B2" w:rsidP="004565B2">
      <w:r w:rsidRPr="004565B2">
        <w:t xml:space="preserve">Ved </w:t>
      </w:r>
      <w:r w:rsidR="00C44335">
        <w:t>(</w:t>
      </w:r>
      <w:r w:rsidR="00C44335" w:rsidRPr="00C44335">
        <w:rPr>
          <w:i/>
        </w:rPr>
        <w:t>telte i???</w:t>
      </w:r>
      <w:r w:rsidR="00C44335">
        <w:t xml:space="preserve">) </w:t>
      </w:r>
      <w:r w:rsidRPr="004565B2">
        <w:t xml:space="preserve">salgsområder skal der fra den enkelte salgsbod være en flugtvej direkte til et friområde. Såfremt salgsbodens facadelængde overstiger 10 m, skal der dog være mindst 2 flugtveje direkte til friområder. </w:t>
      </w:r>
    </w:p>
    <w:p w:rsidR="004565B2" w:rsidRDefault="004565B2" w:rsidP="004565B2">
      <w:r w:rsidRPr="004565B2">
        <w:lastRenderedPageBreak/>
        <w:t xml:space="preserve">Udformningen af flugtvejssystemet og antallet af udgange fra telte er afhængigt af teltets udformning og antallet af personer i teltet. </w:t>
      </w:r>
    </w:p>
    <w:p w:rsidR="004565B2" w:rsidRPr="004565B2" w:rsidRDefault="004565B2" w:rsidP="004565B2">
      <w:r w:rsidRPr="004565B2">
        <w:t xml:space="preserve">For at sikre tilstrækkelig adgang til udgange vil det normalt være hensigtsmæssigt, hvis der ikke er mere end 25 m i ganglinje fra et vilkårligt sted i et telt til en udgang. Da én udgang kan være spærret af en brand, skal der være mindst to udgange fra et telt, og disse udgange skal være placeret i modstående ender af teltet. </w:t>
      </w:r>
    </w:p>
    <w:p w:rsidR="004565B2" w:rsidRDefault="004565B2" w:rsidP="004565B2">
      <w:r w:rsidRPr="004565B2">
        <w:t xml:space="preserve">Udgangene bør generelt have en bredde på mindst 1.2 m og en højde på mindst 2,0 m. Adgang til terræn bør udføres som niveaufri adgang. </w:t>
      </w:r>
    </w:p>
    <w:p w:rsidR="004565B2" w:rsidRPr="004565B2" w:rsidRDefault="004565B2" w:rsidP="004565B2">
      <w:r w:rsidRPr="004565B2">
        <w:t>For at en udgang kan tages i regning som flugtvej, ska</w:t>
      </w:r>
      <w:r w:rsidR="00C44335">
        <w:t>l den tydeligt fremtræde som ud</w:t>
      </w:r>
      <w:r w:rsidRPr="004565B2">
        <w:t xml:space="preserve">gang, og skal kunne passeres uden brug af nøgle eller særligt værktøj. Over eller umiddelbart ved udgangen skal der anbringes flugtvejsskilte udført i overensstemmelse med Arbejdstilsynets bestemmelser om sikkerhedsskiltning. </w:t>
      </w:r>
    </w:p>
    <w:p w:rsidR="00D477BB" w:rsidRDefault="004565B2" w:rsidP="004565B2">
      <w:pPr>
        <w:rPr>
          <w:sz w:val="23"/>
          <w:szCs w:val="23"/>
        </w:rPr>
      </w:pPr>
      <w:r w:rsidRPr="004565B2">
        <w:t>Udgange fra telte vil typisk være lukket med lynlåse. Dette kan accepteres, såfremt lynlåsen er funktionsduelig og letløbende, og at der ved udgangen findes en afmærkning, der viser, hvor lynlåsen er placeret, og i hvilken retning, den løber.</w:t>
      </w:r>
      <w:r w:rsidR="00D477BB">
        <w:t xml:space="preserve"> </w:t>
      </w:r>
      <w:r w:rsidR="00D477BB">
        <w:rPr>
          <w:sz w:val="23"/>
          <w:szCs w:val="23"/>
        </w:rPr>
        <w:t xml:space="preserve">En anden mulighed er at benytte en lukning med </w:t>
      </w:r>
      <w:proofErr w:type="spellStart"/>
      <w:r w:rsidR="00D477BB">
        <w:rPr>
          <w:sz w:val="23"/>
          <w:szCs w:val="23"/>
        </w:rPr>
        <w:t>velcrobånd</w:t>
      </w:r>
      <w:proofErr w:type="spellEnd"/>
      <w:r w:rsidR="00D477BB">
        <w:rPr>
          <w:sz w:val="23"/>
          <w:szCs w:val="23"/>
        </w:rPr>
        <w:t xml:space="preserve">. Her er det vigtigt, at </w:t>
      </w:r>
      <w:proofErr w:type="spellStart"/>
      <w:r w:rsidR="00D477BB">
        <w:rPr>
          <w:sz w:val="23"/>
          <w:szCs w:val="23"/>
        </w:rPr>
        <w:t>velcrobåndet</w:t>
      </w:r>
      <w:proofErr w:type="spellEnd"/>
      <w:r w:rsidR="00D477BB">
        <w:rPr>
          <w:sz w:val="23"/>
          <w:szCs w:val="23"/>
        </w:rPr>
        <w:t xml:space="preserve"> er let at åbne, således at flugtvejen stadigvæk er let at passere.</w:t>
      </w:r>
    </w:p>
    <w:p w:rsidR="00D477BB" w:rsidRPr="00D477BB" w:rsidRDefault="00D477BB" w:rsidP="00D477BB">
      <w:r w:rsidRPr="00D477BB">
        <w:t xml:space="preserve">I tabel 4 er vist et anbefalet antal af udgange. For at sikre at kun én udgang vil blive spærret af en brand, bør der være mindst 5 m mellem udgangene.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735"/>
        <w:gridCol w:w="2735"/>
      </w:tblGrid>
      <w:tr w:rsidR="008669D4" w:rsidRPr="00D477BB" w:rsidTr="00BF68E4">
        <w:trPr>
          <w:trHeight w:val="110"/>
        </w:trPr>
        <w:tc>
          <w:tcPr>
            <w:tcW w:w="2735" w:type="dxa"/>
          </w:tcPr>
          <w:p w:rsidR="008669D4" w:rsidRDefault="008669D4" w:rsidP="00BF68E4">
            <w:pPr>
              <w:rPr>
                <w:i/>
                <w:iCs/>
              </w:rPr>
            </w:pPr>
            <w:r w:rsidRPr="00D477BB">
              <w:rPr>
                <w:i/>
                <w:iCs/>
              </w:rPr>
              <w:t xml:space="preserve">Tabel 4, Anbefalet antal af udgange </w:t>
            </w:r>
          </w:p>
          <w:p w:rsidR="008669D4" w:rsidRPr="00D477BB" w:rsidRDefault="008669D4" w:rsidP="00BF68E4">
            <w:r w:rsidRPr="00D477BB">
              <w:t xml:space="preserve">Antal personer </w:t>
            </w:r>
          </w:p>
        </w:tc>
        <w:tc>
          <w:tcPr>
            <w:tcW w:w="2735" w:type="dxa"/>
          </w:tcPr>
          <w:p w:rsidR="008669D4" w:rsidRPr="00D477BB" w:rsidRDefault="008669D4" w:rsidP="00BF68E4">
            <w:r w:rsidRPr="00D477BB">
              <w:t xml:space="preserve">Antal udgange </w:t>
            </w:r>
          </w:p>
        </w:tc>
      </w:tr>
      <w:tr w:rsidR="008669D4" w:rsidRPr="00D477BB" w:rsidTr="00BF68E4">
        <w:trPr>
          <w:trHeight w:val="110"/>
        </w:trPr>
        <w:tc>
          <w:tcPr>
            <w:tcW w:w="2735" w:type="dxa"/>
          </w:tcPr>
          <w:p w:rsidR="008669D4" w:rsidRPr="00D477BB" w:rsidRDefault="008669D4" w:rsidP="00BF68E4">
            <w:r w:rsidRPr="00D477BB">
              <w:t xml:space="preserve">150 – 349 </w:t>
            </w:r>
          </w:p>
        </w:tc>
        <w:tc>
          <w:tcPr>
            <w:tcW w:w="2735" w:type="dxa"/>
          </w:tcPr>
          <w:p w:rsidR="008669D4" w:rsidRPr="00D477BB" w:rsidRDefault="008669D4" w:rsidP="00BF68E4">
            <w:r w:rsidRPr="00D477BB">
              <w:t xml:space="preserve">3 </w:t>
            </w:r>
          </w:p>
        </w:tc>
      </w:tr>
      <w:tr w:rsidR="008669D4" w:rsidRPr="00D477BB" w:rsidTr="00BF68E4">
        <w:trPr>
          <w:trHeight w:val="110"/>
        </w:trPr>
        <w:tc>
          <w:tcPr>
            <w:tcW w:w="2735" w:type="dxa"/>
          </w:tcPr>
          <w:p w:rsidR="008669D4" w:rsidRPr="00D477BB" w:rsidRDefault="008669D4" w:rsidP="00BF68E4">
            <w:r w:rsidRPr="00D477BB">
              <w:t xml:space="preserve">350 – 549 </w:t>
            </w:r>
          </w:p>
        </w:tc>
        <w:tc>
          <w:tcPr>
            <w:tcW w:w="2735" w:type="dxa"/>
          </w:tcPr>
          <w:p w:rsidR="008669D4" w:rsidRPr="00D477BB" w:rsidRDefault="008669D4" w:rsidP="00BF68E4">
            <w:r w:rsidRPr="00D477BB">
              <w:t xml:space="preserve">4 </w:t>
            </w:r>
          </w:p>
        </w:tc>
      </w:tr>
      <w:tr w:rsidR="008669D4" w:rsidRPr="00D477BB" w:rsidTr="00BF68E4">
        <w:trPr>
          <w:trHeight w:val="110"/>
        </w:trPr>
        <w:tc>
          <w:tcPr>
            <w:tcW w:w="2735" w:type="dxa"/>
            <w:tcBorders>
              <w:left w:val="nil"/>
            </w:tcBorders>
          </w:tcPr>
          <w:p w:rsidR="008669D4" w:rsidRPr="00D477BB" w:rsidRDefault="008669D4" w:rsidP="00BF68E4">
            <w:r w:rsidRPr="00D477BB">
              <w:t xml:space="preserve">550 – 749 </w:t>
            </w:r>
          </w:p>
        </w:tc>
        <w:tc>
          <w:tcPr>
            <w:tcW w:w="2735" w:type="dxa"/>
            <w:tcBorders>
              <w:right w:val="nil"/>
            </w:tcBorders>
          </w:tcPr>
          <w:p w:rsidR="008669D4" w:rsidRPr="00D477BB" w:rsidRDefault="008669D4" w:rsidP="00BF68E4">
            <w:r w:rsidRPr="00D477BB">
              <w:t xml:space="preserve">5 </w:t>
            </w:r>
          </w:p>
        </w:tc>
      </w:tr>
      <w:tr w:rsidR="008669D4" w:rsidRPr="00D477BB" w:rsidTr="00BF68E4">
        <w:trPr>
          <w:trHeight w:val="110"/>
        </w:trPr>
        <w:tc>
          <w:tcPr>
            <w:tcW w:w="2735" w:type="dxa"/>
            <w:tcBorders>
              <w:left w:val="nil"/>
              <w:bottom w:val="nil"/>
            </w:tcBorders>
          </w:tcPr>
          <w:p w:rsidR="008669D4" w:rsidRPr="00D477BB" w:rsidRDefault="008669D4" w:rsidP="00BF68E4">
            <w:r w:rsidRPr="00D477BB">
              <w:t xml:space="preserve">750 – 949 </w:t>
            </w:r>
          </w:p>
        </w:tc>
        <w:tc>
          <w:tcPr>
            <w:tcW w:w="2735" w:type="dxa"/>
            <w:tcBorders>
              <w:bottom w:val="nil"/>
              <w:right w:val="nil"/>
            </w:tcBorders>
          </w:tcPr>
          <w:p w:rsidR="008669D4" w:rsidRPr="00D477BB" w:rsidRDefault="008669D4" w:rsidP="00BF68E4">
            <w:r w:rsidRPr="00D477BB">
              <w:t xml:space="preserve">6 </w:t>
            </w:r>
          </w:p>
        </w:tc>
      </w:tr>
    </w:tbl>
    <w:p w:rsidR="008669D4" w:rsidRPr="001C7540" w:rsidRDefault="008669D4" w:rsidP="008669D4">
      <w:r w:rsidRPr="001C7540">
        <w:t xml:space="preserve">Ligeledes har bredden af udgangene og de passager/gangarealer, der fører til udgangene, indflydelse på, hvor hurtigt personerne i teltet kan evakueres. Som udgangspunkt bør bredden af udgange og passager/gangarealer have en bredde på mindst 10 mm pr. person, der benytter den. Passager/gangarealer bør dog have en bredde på mindst 1,3 m, og de udgange, der anvendes som normale adgangsveje (teltdøre), bør udføres med en bredde på mindst 1,2 m. For sekundære udgange vil det være tilstrækkeligt, hvis de har en fri bredde på mindst 0,8 m. Ved sekundære adgangsveje forstås udgange, der ikke anvendes i den normale drift af teltet. </w:t>
      </w:r>
    </w:p>
    <w:p w:rsidR="008669D4" w:rsidRPr="001C7540" w:rsidRDefault="008669D4" w:rsidP="008669D4">
      <w:r w:rsidRPr="001C7540">
        <w:t xml:space="preserve">Teltstænger, master, barduner mv. placeres, så de ikke påvirker flugtvejssystemet, fx ved at de ikke er i flugtvejssystemet (udgange og passager/gangarealer). Master og barduner, der er anbragt umiddelbart ved de udvendige flugtveje, skal afmærkes på tydelig måde. </w:t>
      </w:r>
    </w:p>
    <w:p w:rsidR="008669D4" w:rsidRPr="001C7540" w:rsidRDefault="008669D4" w:rsidP="008669D4">
      <w:r w:rsidRPr="001C7540">
        <w:t xml:space="preserve">Flugtveje og gangarealer skal være frie og ryddelige i hele deres bredde. Flugtvejsudgange skal tydeligt fremtræde som udgange og skal kunne passeres i flugtretningen uden brug af nøgle eller værktøj. Ved opstilling af inventar er det vigtigt, at gangarealer og udgange, der er en del af flugtvejssystemet, friholdes i fornødent omfang. </w:t>
      </w:r>
    </w:p>
    <w:p w:rsidR="00D45E86" w:rsidRDefault="00D45E86" w:rsidP="008669D4">
      <w:pPr>
        <w:rPr>
          <w:b/>
          <w:bCs/>
        </w:rPr>
      </w:pPr>
    </w:p>
    <w:p w:rsidR="00D45E86" w:rsidRDefault="00D45E86" w:rsidP="008669D4">
      <w:pPr>
        <w:rPr>
          <w:b/>
          <w:bCs/>
        </w:rPr>
      </w:pPr>
    </w:p>
    <w:p w:rsidR="008669D4" w:rsidRPr="001C7540" w:rsidRDefault="008669D4" w:rsidP="008669D4">
      <w:r w:rsidRPr="001C7540">
        <w:rPr>
          <w:b/>
          <w:bCs/>
        </w:rPr>
        <w:t xml:space="preserve">4.2.4 Pladsfordelingsplaner </w:t>
      </w:r>
    </w:p>
    <w:p w:rsidR="008669D4" w:rsidRPr="001C7540" w:rsidRDefault="008669D4" w:rsidP="008669D4">
      <w:r w:rsidRPr="001C7540">
        <w:t xml:space="preserve">Ved transportable telte, der benyttes til mere end 150 personer, bør der udarbejdes målfaste pladsfordelingsplaner, der viser den eller de godkendte inventaropstillinger for den pågældende konstruktion og samtlige flugtveje til terræn i det fri. </w:t>
      </w:r>
    </w:p>
    <w:p w:rsidR="008669D4" w:rsidRPr="001C7540" w:rsidRDefault="008669D4" w:rsidP="008669D4">
      <w:r w:rsidRPr="001C7540">
        <w:t xml:space="preserve">Et opslag med den godkendte pladsfordelingsplan eller det maksimale antal personer, hvis forsamlingsteltet anvendes uden inventaropstilling ophænges på et let tilgængeligt og synligt sted, f.eks. ved hovedindgangen. </w:t>
      </w:r>
    </w:p>
    <w:p w:rsidR="008669D4" w:rsidRPr="001C7540" w:rsidRDefault="008669D4" w:rsidP="008669D4">
      <w:r w:rsidRPr="001C7540">
        <w:t xml:space="preserve">Såfremt pladsfordelingsplanerne er en del af certificeringen (jf. certificeringsbekendtgørelsens § 13, stk. 3) skal kravene til inventaropstillingen herefter ikke påses af bygningsmyndigheden. </w:t>
      </w:r>
    </w:p>
    <w:p w:rsidR="008669D4" w:rsidRPr="001C7540" w:rsidRDefault="008669D4" w:rsidP="008669D4">
      <w:r w:rsidRPr="001C7540">
        <w:t xml:space="preserve">Såfremt konstruktionen ændrer udformning, eller inventaropstillingen ændres, skal der indhentes en ny certificering eller ske godkendelse af bygningsmyndigheden. </w:t>
      </w:r>
    </w:p>
    <w:p w:rsidR="008669D4" w:rsidRDefault="008669D4" w:rsidP="00D477BB">
      <w:r w:rsidRPr="001C7540">
        <w:t xml:space="preserve">For telte indrettet til mere end 150 personer, beskrives flugtveje og opstilling af inventar på en pladsfordelingsplan. Pladsfordelingsplanen er en del af certificeringen eller godkendes af kommunen ved hver opstilling. Planen viser udover inventaropstilling, flugtveje helt til terræn i det fri, herunder udformning af gangarealer, alle udgange og eventuelle trapper og ramper samt placering af flugtvejsskilte og brandslukningsmateriel. På planen anføres også det maksimale antal personer, der må opholde sig i teltet. Placering og brug af kogeapparater, grill og lignende, bortset fra </w:t>
      </w:r>
      <w:proofErr w:type="spellStart"/>
      <w:r w:rsidRPr="001C7540">
        <w:t>elkogeplader</w:t>
      </w:r>
      <w:proofErr w:type="spellEnd"/>
      <w:r w:rsidRPr="001C7540">
        <w:t>, vises også på pladsfordelingsplanen.</w:t>
      </w:r>
    </w:p>
    <w:p w:rsidR="00846089" w:rsidRPr="001C7540" w:rsidRDefault="00846089" w:rsidP="00846089">
      <w:r w:rsidRPr="001C7540">
        <w:t xml:space="preserve">Hvis der anvendes forskellige inventaropstillinger, udarbejdes en pladsfordelingsplan for hver enkelt opstilling. Hvor der anvendes tribuner, scener m.v. i et telt, skal flugtvejsforhold og placering af disse fremgå af pladsfordelingsplanen for teltet. </w:t>
      </w:r>
    </w:p>
    <w:p w:rsidR="00846089" w:rsidRPr="001C7540" w:rsidRDefault="00846089" w:rsidP="00846089">
      <w:r w:rsidRPr="001C7540">
        <w:t xml:space="preserve">Udarbejdelse af pladsfordelingsplaner, der omfatter opstilling med stole og/eller stole og borde, kan ske efter disse retningslinjer. </w:t>
      </w:r>
    </w:p>
    <w:p w:rsidR="00846089" w:rsidRPr="001C7540" w:rsidRDefault="00846089" w:rsidP="00846089">
      <w:r w:rsidRPr="001C7540">
        <w:t xml:space="preserve">Afstanden mellem rækker med stole eller bænke skal være mindst 80 cm (regnet fra stoleryg til stoleryg eller bagkant af bænk) og de enkelte sæders bredde må være mindst 50 cm (eller centerafstanden fra stolemidte til stolemidte må være mindst 50 cm ved sammenkoblede stole). </w:t>
      </w:r>
    </w:p>
    <w:p w:rsidR="00846089" w:rsidRPr="001C7540" w:rsidRDefault="00846089" w:rsidP="00846089">
      <w:r w:rsidRPr="001C7540">
        <w:t xml:space="preserve">Ved opstilling af stole og borde bør der være en afstand på mindst 2 m regnet fra bordkant til bordkant, såfremt der er stole langs bordkanten. Antallet af stole ved hver bordopstilling i ubrudt række må maksimalt være 24. </w:t>
      </w:r>
    </w:p>
    <w:p w:rsidR="00846089" w:rsidRPr="001C7540" w:rsidRDefault="00846089" w:rsidP="00846089">
      <w:r w:rsidRPr="001C7540">
        <w:t xml:space="preserve">Når der ønskes anvendt en bordopstilling med runde borde, gælder som udgangspunkt de ovenfor nævnte principper, dvs. at mellem 2 stolerygge skal der være minimum 1 m (når stolene er i brug), og der må højst være 6 m til nærmeste gangareal. Endelig kan det kommunale redningsberedskab, inspektionsorganet eller byggemyndigheden i forbindelse med godkendelsen inddrage personbelastningen (antal personer pr. m2). </w:t>
      </w:r>
    </w:p>
    <w:p w:rsidR="00846089" w:rsidRPr="001C7540" w:rsidRDefault="00846089" w:rsidP="00846089">
      <w:r w:rsidRPr="001C7540">
        <w:t xml:space="preserve">Personbelastningen i et område med runde borde bør ikke overstige personbelastningen ved de traditionelle opstillinger, hvilket betyder, at personbelastningen ikke bør overstige 1,5 personer pr. m². Har man et område på 50 m², bør der således maksimalt opstilles stole til 75 personer i området. </w:t>
      </w:r>
    </w:p>
    <w:p w:rsidR="00846089" w:rsidRPr="001C7540" w:rsidRDefault="00846089" w:rsidP="00846089">
      <w:r w:rsidRPr="001C7540">
        <w:lastRenderedPageBreak/>
        <w:t xml:space="preserve">Ved sceneopstilling er stolene eller bænkene placeret således, at publikum alle har front mod scenen. Et eksempel på en sceneopstilling fremgår af nedenstående figur. For at komme frem til flugtvejsgangen skal man rejse sig fra stolen (uden at rykke den tilbage) og gå frem til gangarealet. </w:t>
      </w:r>
    </w:p>
    <w:p w:rsidR="00846089" w:rsidRDefault="00846089" w:rsidP="00846089">
      <w:r w:rsidRPr="001C7540">
        <w:t>Ved sceneopstillinger skal stolene fastgøres i gulvet eller sammenkobles i grupper af mindst 4. Sammenkoblingen skal være stabil, således at stolenes indbyrdes placering ikke forrykkes ved brug. Dette er for at sikre, at stolene ikke blokerer for ”friarealet” frem til gangarealet. Afstanden frem til gangarealet må ligesom ved bordopstillingerne ikke overstige 12 pladser i en række, hvis der alene er gangareal til den ene side og ikke overstige 24 pladser i en række, hvis der er gangareal på begge sider. Ved opstilling af stole eller bænke, hvor antallet af rækker overstiger 20, skal der udføres en yderligere adskillelse (sektionering). Sektioneringen skal bestå af et gangareal, der skal være</w:t>
      </w:r>
      <w:r w:rsidRPr="001C7540">
        <w:rPr>
          <w:rFonts w:ascii="Arial" w:hAnsi="Arial" w:cs="Arial"/>
          <w:color w:val="000000"/>
          <w:sz w:val="23"/>
          <w:szCs w:val="23"/>
        </w:rPr>
        <w:t xml:space="preserve"> </w:t>
      </w:r>
      <w:r w:rsidRPr="001C7540">
        <w:t>mindst 1,3 m bredt, såfremt stolene eller bænkene er fastgjort til gulvet og mindst 2 m, hvis stolene eller bænkene ikke er fastgjort til gulvet.</w:t>
      </w:r>
    </w:p>
    <w:p w:rsidR="00846089" w:rsidRPr="001C7540" w:rsidRDefault="00846089" w:rsidP="00846089">
      <w:r w:rsidRPr="001C7540">
        <w:rPr>
          <w:b/>
          <w:bCs/>
        </w:rPr>
        <w:t xml:space="preserve">4.2.5 Konstruktioner, materialer og beklædninger i telte </w:t>
      </w:r>
    </w:p>
    <w:p w:rsidR="00846089" w:rsidRPr="001C7540" w:rsidRDefault="00846089" w:rsidP="00846089">
      <w:r w:rsidRPr="001C7540">
        <w:t xml:space="preserve">Det fremgår af BR15, at teltet skal udføres af materialer (teltstænger, teltdug, lofter, vægge, gulve mv.), der gør, at personer sikkert kan forlade teltet i tilfælde af brand, og at redningsberedskabet skal have mulighed for at foretages deres indsats. </w:t>
      </w:r>
    </w:p>
    <w:p w:rsidR="00846089" w:rsidRPr="001C7540" w:rsidRDefault="00846089" w:rsidP="00846089">
      <w:r w:rsidRPr="001C7540">
        <w:t xml:space="preserve">Dette angives i BR15 ved omtalen af følgende forhold relateret til konstruktioner, materialer og beklædninger: </w:t>
      </w:r>
    </w:p>
    <w:p w:rsidR="00846089" w:rsidRPr="001C7540" w:rsidRDefault="00846089" w:rsidP="00846089">
      <w:r w:rsidRPr="001C7540">
        <w:t xml:space="preserve">Kapitel 5.3, stk. 1: </w:t>
      </w:r>
      <w:r w:rsidRPr="001C7540">
        <w:rPr>
          <w:i/>
          <w:iCs/>
        </w:rPr>
        <w:t>Byggevarer og bygningsdele skal udføres, så personer i eller ved bygningen kan bringe sig i sikkerhed på terræn i det fri eller et sikkert sted i bygningen, og så redningsberedskabet har mulighed for redning af personer og sikre acceptable forhold for dyr samt for slukningsarbejde</w:t>
      </w:r>
      <w:r w:rsidRPr="001C7540">
        <w:t xml:space="preserve">. </w:t>
      </w:r>
    </w:p>
    <w:p w:rsidR="001C7540" w:rsidRPr="001C7540" w:rsidRDefault="001C7540" w:rsidP="001C7540">
      <w:r w:rsidRPr="001C7540">
        <w:t xml:space="preserve">Kapitel 5.5.1 stk. 1 </w:t>
      </w:r>
      <w:r w:rsidRPr="001C7540">
        <w:rPr>
          <w:i/>
          <w:iCs/>
        </w:rPr>
        <w:t>Indvendige overflader skal udføres på en sådan måde, at de ikke bidrager væsentligt til brand- og røgudviklingen i den tid, som personer, der opholder sig i rummet, skal bruge til at bringe sig i sikkerhed</w:t>
      </w:r>
      <w:r w:rsidRPr="001C7540">
        <w:t xml:space="preserve">. </w:t>
      </w:r>
    </w:p>
    <w:p w:rsidR="001C7540" w:rsidRPr="001C7540" w:rsidRDefault="001C7540" w:rsidP="001C7540">
      <w:r w:rsidRPr="001C7540">
        <w:t xml:space="preserve">Kapitel 5.5.2 stk. 1 </w:t>
      </w:r>
      <w:r w:rsidRPr="001C7540">
        <w:rPr>
          <w:i/>
          <w:iCs/>
        </w:rPr>
        <w:t>Udvendige overflader og tagdækninger skal udføres på en sådan måde, at de ikke giver et væsentligt bidrag til brandspredning</w:t>
      </w:r>
      <w:r w:rsidRPr="001C7540">
        <w:t xml:space="preserve">. </w:t>
      </w:r>
    </w:p>
    <w:p w:rsidR="001C7540" w:rsidRPr="001C7540" w:rsidRDefault="001C7540" w:rsidP="001C7540">
      <w:r w:rsidRPr="001C7540">
        <w:t xml:space="preserve">Det skal dermed dokumenteres, at teltet bevarer sin bæreevne i den tid, det tager at tømme teltet og for redningsberedskabets indsats. For traditionelle bygninger vil det normalt betyde, at konstruktionens bærende system kan modstå en standardbrand i 30 minutter svarende til et R 30 brandkrav. </w:t>
      </w:r>
    </w:p>
    <w:p w:rsidR="001C7540" w:rsidRPr="001C7540" w:rsidRDefault="001C7540" w:rsidP="001C7540">
      <w:r w:rsidRPr="001C7540">
        <w:t xml:space="preserve">Telte adskiller sig fra traditionelle bygninger ved at være langt mere utætte end traditionelle bygninger, ligesom teltdugen i nogle tilfælde vil smelte væk. I nogle tilfælde vil denne utæthed kunne sidestilles med en brandventileret bygning, hvor man normalt ikke vil stille krav til brandmodstandsevnen af den bærende konstruktion. Kriterier for brandmodstandsevne af telte bør dog foretages på baggrund af en konkret vurdering af teltets udformning og anvendelse – herunder bør der specielt fokuseres på, hvor lang tid det vil tage at rømme konstruktionen. </w:t>
      </w:r>
    </w:p>
    <w:p w:rsidR="001C7540" w:rsidRPr="001C7540" w:rsidRDefault="001C7540" w:rsidP="001C7540">
      <w:r w:rsidRPr="001C7540">
        <w:t xml:space="preserve">I BR15 foreskrives tillige, at teltdug og andre beklædninger i teltet skal udføres af materialer, der ikke bidrager til branden i det. </w:t>
      </w:r>
    </w:p>
    <w:p w:rsidR="001C7540" w:rsidRPr="001C7540" w:rsidRDefault="001C7540" w:rsidP="001C7540">
      <w:r w:rsidRPr="001C7540">
        <w:t xml:space="preserve">Teltdug bør udføres af et brandmæssigt egnet materiale. Dette kan f.eks. dokumenteres efter SIS 65 00 82 </w:t>
      </w:r>
      <w:proofErr w:type="spellStart"/>
      <w:r w:rsidRPr="001C7540">
        <w:rPr>
          <w:i/>
          <w:iCs/>
        </w:rPr>
        <w:t>Bestämning</w:t>
      </w:r>
      <w:proofErr w:type="spellEnd"/>
      <w:r w:rsidRPr="001C7540">
        <w:rPr>
          <w:i/>
          <w:iCs/>
        </w:rPr>
        <w:t xml:space="preserve"> av </w:t>
      </w:r>
      <w:proofErr w:type="spellStart"/>
      <w:r w:rsidRPr="001C7540">
        <w:rPr>
          <w:i/>
          <w:iCs/>
        </w:rPr>
        <w:t>brandhärdighet</w:t>
      </w:r>
      <w:proofErr w:type="spellEnd"/>
      <w:r w:rsidRPr="001C7540">
        <w:rPr>
          <w:i/>
          <w:iCs/>
        </w:rPr>
        <w:t xml:space="preserve"> hos </w:t>
      </w:r>
      <w:proofErr w:type="spellStart"/>
      <w:r w:rsidRPr="001C7540">
        <w:rPr>
          <w:i/>
          <w:iCs/>
        </w:rPr>
        <w:t>vävnader</w:t>
      </w:r>
      <w:proofErr w:type="spellEnd"/>
      <w:r w:rsidRPr="001C7540">
        <w:rPr>
          <w:i/>
          <w:iCs/>
        </w:rPr>
        <w:t xml:space="preserve">, </w:t>
      </w:r>
      <w:r w:rsidRPr="001C7540">
        <w:t xml:space="preserve">EN 15619 </w:t>
      </w:r>
      <w:r w:rsidRPr="001C7540">
        <w:rPr>
          <w:i/>
          <w:iCs/>
        </w:rPr>
        <w:t xml:space="preserve">Gummi- eller plastbelagte stoffer - Midlertidige konstruktioner (telte) - Sikkerhed - Specifikation af belagte stoffer til telte og lignende konstruktioner </w:t>
      </w:r>
      <w:r w:rsidRPr="001C7540">
        <w:t xml:space="preserve">og EN 14115 </w:t>
      </w:r>
      <w:proofErr w:type="spellStart"/>
      <w:r w:rsidRPr="001C7540">
        <w:rPr>
          <w:i/>
          <w:iCs/>
        </w:rPr>
        <w:t>Textiler</w:t>
      </w:r>
      <w:proofErr w:type="spellEnd"/>
      <w:r w:rsidRPr="001C7540">
        <w:rPr>
          <w:i/>
          <w:iCs/>
        </w:rPr>
        <w:t xml:space="preserve"> - Brandforhold, større telte og lignende produkter – Antændelighed. </w:t>
      </w:r>
      <w:r w:rsidRPr="001C7540">
        <w:t xml:space="preserve">Vægge og lofter, som </w:t>
      </w:r>
      <w:r w:rsidRPr="001C7540">
        <w:lastRenderedPageBreak/>
        <w:t xml:space="preserve">ikke er udført af teltdug, bør have overflader udført mindst som klasse K1 10, D-s2, d2 [klasse 2-beklædning]. Klasse 2-beklædning er fx 9 mm spånplade, 9 mm træfiberplade eller 9 mm krydsfinerplade. </w:t>
      </w:r>
    </w:p>
    <w:p w:rsidR="001C7540" w:rsidRPr="001C7540" w:rsidRDefault="001C7540" w:rsidP="001C7540">
      <w:r w:rsidRPr="001C7540">
        <w:t xml:space="preserve">En nærmere beskrivelse af klassifikation af byggevarer og bygningsdele fremgår af </w:t>
      </w:r>
      <w:r w:rsidRPr="001C7540">
        <w:rPr>
          <w:i/>
          <w:iCs/>
        </w:rPr>
        <w:t>E</w:t>
      </w:r>
      <w:r>
        <w:rPr>
          <w:i/>
          <w:iCs/>
        </w:rPr>
        <w:t>k</w:t>
      </w:r>
      <w:r w:rsidRPr="001C7540">
        <w:rPr>
          <w:i/>
          <w:iCs/>
        </w:rPr>
        <w:t>sempelsamling om brandsikring af byggeri</w:t>
      </w:r>
      <w:r w:rsidRPr="001C7540">
        <w:t xml:space="preserve">. </w:t>
      </w:r>
    </w:p>
    <w:p w:rsidR="001C7540" w:rsidRPr="001C7540" w:rsidRDefault="001C7540" w:rsidP="001C7540">
      <w:r w:rsidRPr="001C7540">
        <w:t xml:space="preserve">For så vidt angår opbygning af tribuner, scener mv. henvises til særskilte afsnit herom. </w:t>
      </w:r>
    </w:p>
    <w:p w:rsidR="001C7540" w:rsidRPr="001C7540" w:rsidRDefault="001C7540" w:rsidP="001C7540">
      <w:r w:rsidRPr="001C7540">
        <w:rPr>
          <w:b/>
          <w:bCs/>
        </w:rPr>
        <w:t xml:space="preserve">4.2.6 Brandtekniske installationer i telte </w:t>
      </w:r>
    </w:p>
    <w:p w:rsidR="001C7540" w:rsidRPr="001C7540" w:rsidRDefault="001C7540" w:rsidP="001C7540">
      <w:r w:rsidRPr="001C7540">
        <w:t xml:space="preserve">I BR15 kap. 5.4 stk. 11 beskrives følgende forhold relateret til forsamlingstelte og cirkustelte indrettet til mere end 150 personer: </w:t>
      </w:r>
      <w:r w:rsidRPr="001C7540">
        <w:rPr>
          <w:i/>
          <w:iCs/>
        </w:rPr>
        <w:t xml:space="preserve">Opholdsrum til mere end 150 personer i anvendelseskategori 3, skal udføres med slangevinder, flugtvejs- og panikbelysning samt varslingsanlæg. Varslingsanlægget skal udføres som automatisk varsling, hvis bygningsafsnittet anvendes på en måde, der forringer mulighederne for evakuering. </w:t>
      </w:r>
    </w:p>
    <w:p w:rsidR="001C7540" w:rsidRPr="001C7540" w:rsidRDefault="001C7540" w:rsidP="001C7540">
      <w:r w:rsidRPr="001C7540">
        <w:t xml:space="preserve">Slangevinder har til formål at sikre, at personer i rummet kan foretage en førsteindsats, inden redningsberedskabet kommer frem. Installation af slangevinder kræver, at der er installeret vand i teltet, hvilket sjældent er tilfældet for transportable konstruktioner. For traditionelle teltkonstruktioner omfattet af eksemplerne i denne vejledning vil det oftest være tilstrækkeligt, hvis der placeret håndslukningsudstyr, som sikrer en acceptabel mulighed for at lave en første slukningsindsats. </w:t>
      </w:r>
    </w:p>
    <w:p w:rsidR="001C7540" w:rsidRPr="001C7540" w:rsidRDefault="001C7540" w:rsidP="001C7540">
      <w:r w:rsidRPr="001C7540">
        <w:t xml:space="preserve">Varslingsanlæg har til formål at varsle personer i teltet om, at de skal forlade teltet. Bygningsreglementets krav omfatter alle typer bygninger uanset kompleksitetsgrad. Hvor flugtvejene er korte og leder direkte til terræn i det fri, kan det baseret på den konkrete udformning og anvendelse af teltet tillades, at kravet kan frafaldes. I denne vurdering bør der bl.a. indgå forhold som, </w:t>
      </w:r>
    </w:p>
    <w:p w:rsidR="001C7540" w:rsidRPr="001C7540" w:rsidRDefault="001C7540" w:rsidP="001C7540">
      <w:pPr>
        <w:pStyle w:val="Listeafsnit"/>
        <w:numPr>
          <w:ilvl w:val="0"/>
          <w:numId w:val="30"/>
        </w:numPr>
      </w:pPr>
      <w:r w:rsidRPr="001C7540">
        <w:t xml:space="preserve">om personerne, der opholder sig i teltet er blevet gjort opmærksom på, hvordan de skal forholde sig i tilfælde af brand, </w:t>
      </w:r>
    </w:p>
    <w:p w:rsidR="001C7540" w:rsidRPr="001C7540" w:rsidRDefault="001C7540" w:rsidP="001C7540">
      <w:pPr>
        <w:pStyle w:val="Listeafsnit"/>
        <w:numPr>
          <w:ilvl w:val="0"/>
          <w:numId w:val="30"/>
        </w:numPr>
      </w:pPr>
      <w:r w:rsidRPr="001C7540">
        <w:t xml:space="preserve">om der er personale til stedet, der er uddannet til at håndtere evakuering for det konkrete arrangement, </w:t>
      </w:r>
    </w:p>
    <w:p w:rsidR="001C7540" w:rsidRPr="001C7540" w:rsidRDefault="001C7540" w:rsidP="001C7540">
      <w:pPr>
        <w:pStyle w:val="Listeafsnit"/>
        <w:numPr>
          <w:ilvl w:val="0"/>
          <w:numId w:val="30"/>
        </w:numPr>
      </w:pPr>
      <w:r w:rsidRPr="001C7540">
        <w:t xml:space="preserve">om der er god overskuelighed af hele teltet, så en brand vil blive opdaget tidligt i brandforløbet </w:t>
      </w:r>
    </w:p>
    <w:p w:rsidR="001C7540" w:rsidRPr="001C7540" w:rsidRDefault="001C7540" w:rsidP="001C7540">
      <w:pPr>
        <w:pStyle w:val="Listeafsnit"/>
        <w:numPr>
          <w:ilvl w:val="0"/>
          <w:numId w:val="30"/>
        </w:numPr>
      </w:pPr>
      <w:r w:rsidRPr="001C7540">
        <w:t xml:space="preserve">om flugtvejene er korte, overskuelige og fører direkte til terræn i det fri. </w:t>
      </w:r>
    </w:p>
    <w:p w:rsidR="001C7540" w:rsidRPr="001C7540" w:rsidRDefault="001C7540" w:rsidP="001C7540">
      <w:r w:rsidRPr="001C7540">
        <w:t xml:space="preserve">Nogle af disse forhold kan med fordel beskrives i en brand- og evakueringsinstruks, der følger teltet og dets anvendelse. </w:t>
      </w:r>
    </w:p>
    <w:p w:rsidR="001C7540" w:rsidRPr="001C7540" w:rsidRDefault="001C7540" w:rsidP="001C7540">
      <w:r w:rsidRPr="001C7540">
        <w:t xml:space="preserve">Placering af flugtvejs- og panikbelysning kan ske efter følgende retningslinjer: </w:t>
      </w:r>
    </w:p>
    <w:p w:rsidR="001C7540" w:rsidRPr="001C7540" w:rsidRDefault="001C7540" w:rsidP="001C7540">
      <w:pPr>
        <w:pStyle w:val="Listeafsnit"/>
        <w:numPr>
          <w:ilvl w:val="0"/>
          <w:numId w:val="31"/>
        </w:numPr>
      </w:pPr>
      <w:r w:rsidRPr="001C7540">
        <w:t xml:space="preserve">Over eller umiddelbart ved udgange samt i passager/gangarealer anbringes selvlysende eller belyste flugtvejsskilte udført i overensstemmelse med Arbejdstilsynets bestemmelser om sikkerhedsskiltning. Belysningen opretholdes i mindst 30 minutter efter eventuel afbrydelse af hovedbelysningen. </w:t>
      </w:r>
    </w:p>
    <w:p w:rsidR="001C7540" w:rsidRPr="001C7540" w:rsidRDefault="001C7540" w:rsidP="001C7540">
      <w:pPr>
        <w:pStyle w:val="Listeafsnit"/>
        <w:numPr>
          <w:ilvl w:val="0"/>
          <w:numId w:val="31"/>
        </w:numPr>
      </w:pPr>
      <w:r w:rsidRPr="001C7540">
        <w:t xml:space="preserve">Ved eventuelle gangarealer, trapper og ramper opsættes der panikbelysning, som giver en belysning af mindst 1 lux på gangarealer, trapper og ramper. Belysningen tændes automatisk efter en afbrydelse af hovedbelysningen og opretholdes i mindst 30 minutter. </w:t>
      </w:r>
    </w:p>
    <w:p w:rsidR="001C7540" w:rsidRPr="001C7540" w:rsidRDefault="001C7540" w:rsidP="001C7540">
      <w:pPr>
        <w:pStyle w:val="Listeafsnit"/>
        <w:numPr>
          <w:ilvl w:val="0"/>
          <w:numId w:val="31"/>
        </w:numPr>
      </w:pPr>
      <w:r w:rsidRPr="001C7540">
        <w:t xml:space="preserve">Hvor telte ikke anvendes efter mørkets frembrud, og teltets materialer og udformning ikke udelukker en rimelig dagslysmængde, kan belysning af flugtvejsskilte og panikbelysning ofte udelades. </w:t>
      </w:r>
    </w:p>
    <w:p w:rsidR="001C7540" w:rsidRPr="001C7540" w:rsidRDefault="001C7540" w:rsidP="001C7540">
      <w:r w:rsidRPr="001C7540">
        <w:lastRenderedPageBreak/>
        <w:t xml:space="preserve">Der bør i forsamlingstelte, der anvendes til overnatning opsættes mindst én røgalarm, som eventuelt er batteridreven. Det kan ligeledes være hensigtsmæssigt, at der også er håndildslukkere. </w:t>
      </w:r>
    </w:p>
    <w:p w:rsidR="001C7540" w:rsidRPr="001C7540" w:rsidRDefault="001C7540" w:rsidP="001C7540">
      <w:r w:rsidRPr="001C7540">
        <w:t xml:space="preserve">Brandslukningsmateriellet bør placeres let tilgængeligt f.eks. ved udgange. Anbringelsesstederne skal afmærkes i overensstemmelse med bekendtgørelse om sikkerheds-skiltning og anden form for signalgivning. </w:t>
      </w:r>
    </w:p>
    <w:p w:rsidR="001C7540" w:rsidRPr="001C7540" w:rsidRDefault="001C7540" w:rsidP="001C7540">
      <w:r w:rsidRPr="001C7540">
        <w:t>Det kan være hensigtsmæssigt, at der placeres CO2-slukkere ved større el-tavler, mi</w:t>
      </w:r>
      <w:r w:rsidR="00BD551D">
        <w:t>xe</w:t>
      </w:r>
      <w:r w:rsidRPr="001C7540">
        <w:t xml:space="preserve">rpulte og lignende særlige elektriske installationer. </w:t>
      </w:r>
    </w:p>
    <w:p w:rsidR="001C7540" w:rsidRPr="001C7540" w:rsidRDefault="001C7540" w:rsidP="001C7540">
      <w:r w:rsidRPr="001C7540">
        <w:t xml:space="preserve">Håndildslukkere skal være i overensstemmelse med bekendtgørelse om indretning af trykbærende udstyr. Der skal anvendes den type håndildslukker, som er relevant i forhold til den faktiske risiko. </w:t>
      </w:r>
    </w:p>
    <w:p w:rsidR="001C7540" w:rsidRPr="001C7540" w:rsidRDefault="001C7540" w:rsidP="001C7540">
      <w:r w:rsidRPr="001C7540">
        <w:t xml:space="preserve">Brandtekniske installationer skal tilses og vedligeholdes, således at de er funktionsdygtige. </w:t>
      </w:r>
    </w:p>
    <w:p w:rsidR="001C7540" w:rsidRPr="001C7540" w:rsidRDefault="001C7540" w:rsidP="001C7540">
      <w:r w:rsidRPr="001C7540">
        <w:t xml:space="preserve">Håndildslukkere bør tilses mindst 1 gang om året og bør være mærket med en tilsynsetikette, der er påsat af den, der har foretaget tilsynet. År og måned for det sidste tilsyn skal fremgå af etiketten. </w:t>
      </w:r>
    </w:p>
    <w:p w:rsidR="001C7540" w:rsidRPr="001C7540" w:rsidRDefault="001C7540" w:rsidP="001C7540">
      <w:r w:rsidRPr="001C7540">
        <w:rPr>
          <w:b/>
          <w:bCs/>
        </w:rPr>
        <w:t xml:space="preserve">4.2.7 Andre installationer i telte </w:t>
      </w:r>
    </w:p>
    <w:p w:rsidR="001C7540" w:rsidRPr="001C7540" w:rsidRDefault="001C7540" w:rsidP="001C7540">
      <w:r w:rsidRPr="001C7540">
        <w:t xml:space="preserve">Elektriske installationer skal opfylde bestemmelserne i stærkstrømsbekendtgørelsen, udstedt af Sikkerhedsstyrelsen. </w:t>
      </w:r>
    </w:p>
    <w:p w:rsidR="001C7540" w:rsidRPr="001C7540" w:rsidRDefault="001C7540" w:rsidP="001C7540">
      <w:r w:rsidRPr="001C7540">
        <w:t xml:space="preserve">Gasinstallationer skal opfylde bestemmelserne i gasreglementet udstedt af Sikkerhedsstyrelsen. </w:t>
      </w:r>
    </w:p>
    <w:p w:rsidR="001C7540" w:rsidRPr="001C7540" w:rsidRDefault="001C7540" w:rsidP="001C7540">
      <w:r w:rsidRPr="001C7540">
        <w:t xml:space="preserve">Rumopvarmning i telte bør enten ske med elvarme eller med olie- eller gasfyrede aggregater. </w:t>
      </w:r>
    </w:p>
    <w:p w:rsidR="001C7540" w:rsidRPr="001C7540" w:rsidRDefault="001C7540" w:rsidP="001C7540">
      <w:r w:rsidRPr="001C7540">
        <w:t xml:space="preserve">Der må i et forsamlingstelt maksimalt anbringes 5 F-gasinstallationer, herunder koge-apparater m.v., transportable varmeovne til F-gas, inkl. de F-gasflasker, der aktuelt er i brug. </w:t>
      </w:r>
    </w:p>
    <w:p w:rsidR="001C7540" w:rsidRDefault="001C7540" w:rsidP="001C7540">
      <w:r w:rsidRPr="001C7540">
        <w:t>Alle øvrige F-gasflasker samt olie- eller gasfyrede aggregater til rumopvarmning skal være anbragt mindst 5 m fra forsamlingstelte. F-gasflasker skal være sikret mod påkørsel og skal placeres oprejst. F-gasflasker skal i øvrigt opbevares i overensstemmelse med bestemmelserne i bekendtgørelse om tekniske forskrifter for gasser.</w:t>
      </w:r>
    </w:p>
    <w:p w:rsidR="00BD551D" w:rsidRPr="00BD551D" w:rsidRDefault="00BD551D" w:rsidP="00BD551D">
      <w:r w:rsidRPr="00BD551D">
        <w:rPr>
          <w:b/>
          <w:bCs/>
        </w:rPr>
        <w:t xml:space="preserve">4.2.8 Driftsjournal </w:t>
      </w:r>
    </w:p>
    <w:p w:rsidR="00BD551D" w:rsidRPr="00BD551D" w:rsidRDefault="00BD551D" w:rsidP="00BD551D">
      <w:r w:rsidRPr="00BD551D">
        <w:t xml:space="preserve">For forsamlingstelte til flere end 150 personer sikrer arrangøren eller den driftsansvarlige, at der føres en driftsjournal over kontrollen af de forhold, der fremgår af nedenstående punkter. Af driftsjournalen fremgår det, at kontrollen af de enkelte punkter er udført. Arrangøren eller den driftsansvarlige ved angiver af navn, adresse, dato og klokkeslæt i driftsjournalen, at kontrollen er foretaget umiddelbart inden arrangementets start. Såfremt arrangementet varer længere end 24 timer, gentages kontrollen for hver påbegyndt 24. timer. </w:t>
      </w:r>
    </w:p>
    <w:p w:rsidR="00BD551D" w:rsidRPr="00BD551D" w:rsidRDefault="00BD551D" w:rsidP="00BD551D">
      <w:r w:rsidRPr="00BD551D">
        <w:t xml:space="preserve">En driftsjournal indeholder: </w:t>
      </w:r>
    </w:p>
    <w:p w:rsidR="00BD551D" w:rsidRPr="00BD551D" w:rsidRDefault="00BD551D" w:rsidP="00BD551D">
      <w:r w:rsidRPr="00BD551D">
        <w:t xml:space="preserve">Før enhver benyttelse kontrolleres det: </w:t>
      </w:r>
    </w:p>
    <w:p w:rsidR="00BD551D" w:rsidRPr="00BD551D" w:rsidRDefault="00BD551D" w:rsidP="00BD551D">
      <w:pPr>
        <w:pStyle w:val="Listeafsnit"/>
        <w:numPr>
          <w:ilvl w:val="0"/>
          <w:numId w:val="32"/>
        </w:numPr>
      </w:pPr>
      <w:r w:rsidRPr="00BD551D">
        <w:t xml:space="preserve">at flugtveje og gangarealer er frie og ryddelige i hele deres bredde, </w:t>
      </w:r>
    </w:p>
    <w:p w:rsidR="00BD551D" w:rsidRPr="00BD551D" w:rsidRDefault="00BD551D" w:rsidP="00BD551D">
      <w:pPr>
        <w:pStyle w:val="Listeafsnit"/>
        <w:numPr>
          <w:ilvl w:val="0"/>
          <w:numId w:val="32"/>
        </w:numPr>
      </w:pPr>
      <w:r w:rsidRPr="00BD551D">
        <w:t xml:space="preserve">at flugtveje kan åbnes indefra i fuld bredde og højde, </w:t>
      </w:r>
    </w:p>
    <w:p w:rsidR="00BD551D" w:rsidRPr="00BD551D" w:rsidRDefault="00BD551D" w:rsidP="00BD551D">
      <w:pPr>
        <w:pStyle w:val="Listeafsnit"/>
        <w:numPr>
          <w:ilvl w:val="0"/>
          <w:numId w:val="32"/>
        </w:numPr>
      </w:pPr>
      <w:r w:rsidRPr="00BD551D">
        <w:t xml:space="preserve">at flugtveje kan passeres i flugtretningen uden brug af nøgle eller værktøj, </w:t>
      </w:r>
    </w:p>
    <w:p w:rsidR="00BD551D" w:rsidRPr="00BD551D" w:rsidRDefault="00BD551D" w:rsidP="00BD551D">
      <w:pPr>
        <w:pStyle w:val="Listeafsnit"/>
        <w:numPr>
          <w:ilvl w:val="0"/>
          <w:numId w:val="32"/>
        </w:numPr>
      </w:pPr>
      <w:r w:rsidRPr="00BD551D">
        <w:t xml:space="preserve">at flugtvejsudgange samt nødbelysning og/eller skilte ved disse er synlige, herunder tændte, </w:t>
      </w:r>
    </w:p>
    <w:p w:rsidR="00BD551D" w:rsidRPr="00BD551D" w:rsidRDefault="00BD551D" w:rsidP="00BD551D">
      <w:pPr>
        <w:pStyle w:val="Listeafsnit"/>
        <w:numPr>
          <w:ilvl w:val="0"/>
          <w:numId w:val="32"/>
        </w:numPr>
      </w:pPr>
      <w:r w:rsidRPr="00BD551D">
        <w:lastRenderedPageBreak/>
        <w:t xml:space="preserve">at al nødbelysning er i orden, herunder at alle udgangs- og henvisningsskilte tændes ved svigt af den normale strømforsyning til disse skilte, og at alle lamper, der hører til pa-nikbelysningen, tændes ved svigt af strømforsyningen til den normale belysning i flugtvejene, </w:t>
      </w:r>
    </w:p>
    <w:p w:rsidR="00BD551D" w:rsidRPr="00BD551D" w:rsidRDefault="00BD551D" w:rsidP="00BD551D">
      <w:pPr>
        <w:pStyle w:val="Listeafsnit"/>
        <w:numPr>
          <w:ilvl w:val="0"/>
          <w:numId w:val="32"/>
        </w:numPr>
      </w:pPr>
      <w:r w:rsidRPr="00BD551D">
        <w:t xml:space="preserve">at brandslukningsmateriel er efterset, </w:t>
      </w:r>
    </w:p>
    <w:p w:rsidR="00BD551D" w:rsidRPr="00BD551D" w:rsidRDefault="00BD551D" w:rsidP="00BD551D">
      <w:pPr>
        <w:pStyle w:val="Listeafsnit"/>
        <w:numPr>
          <w:ilvl w:val="0"/>
          <w:numId w:val="32"/>
        </w:numPr>
      </w:pPr>
      <w:r w:rsidRPr="00BD551D">
        <w:t xml:space="preserve">at opslag er anbragt på et synligt sted med angivelse af, at inventaropstilling er i overensstemmelse med pladsfordelingsplanen, eller med angivelse af det maksimale antal personer, når forsamlingsteltet anvendes uden inventaropstilling, </w:t>
      </w:r>
    </w:p>
    <w:p w:rsidR="00BD551D" w:rsidRPr="00BD551D" w:rsidRDefault="00BD551D" w:rsidP="00BD551D">
      <w:pPr>
        <w:pStyle w:val="Listeafsnit"/>
        <w:numPr>
          <w:ilvl w:val="0"/>
          <w:numId w:val="32"/>
        </w:numPr>
      </w:pPr>
      <w:r w:rsidRPr="00BD551D">
        <w:t xml:space="preserve">at personalet er instrueret om det maksimale antal personer, som forsamlingsteltet er godkendt til, om ordensreglerne og om brugen og placeringen af brandslukningsmateriel-let, </w:t>
      </w:r>
    </w:p>
    <w:p w:rsidR="00BD551D" w:rsidRPr="00BD551D" w:rsidRDefault="00BD551D" w:rsidP="000763E5">
      <w:pPr>
        <w:pStyle w:val="Listeafsnit"/>
        <w:numPr>
          <w:ilvl w:val="0"/>
          <w:numId w:val="32"/>
        </w:numPr>
      </w:pPr>
      <w:r w:rsidRPr="00BD551D">
        <w:t xml:space="preserve">at personalet er instrueret i brand- og evakueringsinstruksen, herunder om de opgaver, der påhviler den enkelte. </w:t>
      </w:r>
    </w:p>
    <w:p w:rsidR="00BD551D" w:rsidRPr="00BD551D" w:rsidRDefault="00BD551D" w:rsidP="00BD551D">
      <w:r w:rsidRPr="00BD551D">
        <w:t xml:space="preserve">Enhver mangel, der konstateres ved udførelse af ovenstående kontrol afhjælpes omgående. </w:t>
      </w:r>
    </w:p>
    <w:p w:rsidR="00BD551D" w:rsidRPr="00BD551D" w:rsidRDefault="00BD551D" w:rsidP="00BD551D">
      <w:r w:rsidRPr="00BD551D">
        <w:rPr>
          <w:b/>
          <w:bCs/>
        </w:rPr>
        <w:t xml:space="preserve">4.2.9 Brand- og evakueringsinstruks for personalet i telte til mere end 150 personer </w:t>
      </w:r>
    </w:p>
    <w:p w:rsidR="00BD551D" w:rsidRPr="00BD551D" w:rsidRDefault="00BD551D" w:rsidP="00BD551D">
      <w:r w:rsidRPr="00BD551D">
        <w:t xml:space="preserve">Arrangøren eller den driftsansvarlige udarbejder til brug for personalet en brand- og evakueringsinstruks, der som minimum indeholder oplysning om, </w:t>
      </w:r>
    </w:p>
    <w:p w:rsidR="00BD551D" w:rsidRPr="00BD551D" w:rsidRDefault="00BD551D" w:rsidP="00BD551D">
      <w:pPr>
        <w:pStyle w:val="Listeafsnit"/>
        <w:numPr>
          <w:ilvl w:val="0"/>
          <w:numId w:val="33"/>
        </w:numPr>
      </w:pPr>
      <w:r w:rsidRPr="00BD551D">
        <w:t xml:space="preserve">hvordan redningsberedskabet alarmeres, </w:t>
      </w:r>
    </w:p>
    <w:p w:rsidR="00BD551D" w:rsidRPr="00BD551D" w:rsidRDefault="00BD551D" w:rsidP="00BD551D">
      <w:pPr>
        <w:pStyle w:val="Listeafsnit"/>
        <w:numPr>
          <w:ilvl w:val="0"/>
          <w:numId w:val="33"/>
        </w:numPr>
      </w:pPr>
      <w:r w:rsidRPr="00BD551D">
        <w:t xml:space="preserve">hvordan personalet adviseres om den opståede nødsituation, </w:t>
      </w:r>
    </w:p>
    <w:p w:rsidR="00BD551D" w:rsidRPr="00BD551D" w:rsidRDefault="00BD551D" w:rsidP="00BD551D">
      <w:pPr>
        <w:pStyle w:val="Listeafsnit"/>
        <w:numPr>
          <w:ilvl w:val="0"/>
          <w:numId w:val="33"/>
        </w:numPr>
      </w:pPr>
      <w:proofErr w:type="gramStart"/>
      <w:r w:rsidRPr="00BD551D">
        <w:t>hvordan evt. orienteringslys tændes,</w:t>
      </w:r>
      <w:proofErr w:type="gramEnd"/>
      <w:r w:rsidRPr="00BD551D">
        <w:t xml:space="preserve"> </w:t>
      </w:r>
    </w:p>
    <w:p w:rsidR="00BD551D" w:rsidRPr="00BD551D" w:rsidRDefault="00BD551D" w:rsidP="00BD551D">
      <w:pPr>
        <w:pStyle w:val="Listeafsnit"/>
        <w:numPr>
          <w:ilvl w:val="0"/>
          <w:numId w:val="33"/>
        </w:numPr>
      </w:pPr>
      <w:proofErr w:type="gramStart"/>
      <w:r w:rsidRPr="00BD551D">
        <w:t>hvordan evt. optræden og musik stoppes,</w:t>
      </w:r>
      <w:proofErr w:type="gramEnd"/>
      <w:r w:rsidRPr="00BD551D">
        <w:t xml:space="preserve"> </w:t>
      </w:r>
    </w:p>
    <w:p w:rsidR="00BD551D" w:rsidRPr="00BD551D" w:rsidRDefault="00BD551D" w:rsidP="00BD551D">
      <w:pPr>
        <w:pStyle w:val="Listeafsnit"/>
        <w:numPr>
          <w:ilvl w:val="0"/>
          <w:numId w:val="33"/>
        </w:numPr>
      </w:pPr>
      <w:proofErr w:type="gramStart"/>
      <w:r w:rsidRPr="00BD551D">
        <w:t>hvordan evt. røgmaskiner og andet udstyr, som medfører reduceret sigtbarhed, afbrydes,</w:t>
      </w:r>
      <w:proofErr w:type="gramEnd"/>
      <w:r w:rsidRPr="00BD551D">
        <w:t xml:space="preserve"> </w:t>
      </w:r>
    </w:p>
    <w:p w:rsidR="00BD551D" w:rsidRPr="00BD551D" w:rsidRDefault="00BD551D" w:rsidP="00BD551D">
      <w:pPr>
        <w:pStyle w:val="Listeafsnit"/>
        <w:numPr>
          <w:ilvl w:val="0"/>
          <w:numId w:val="33"/>
        </w:numPr>
      </w:pPr>
      <w:proofErr w:type="gramStart"/>
      <w:r w:rsidRPr="00BD551D">
        <w:t>hvordan evt. lydanlæg anvendes til orientering af gæsterne om situationen,</w:t>
      </w:r>
      <w:proofErr w:type="gramEnd"/>
      <w:r w:rsidRPr="00BD551D">
        <w:t xml:space="preserve"> </w:t>
      </w:r>
    </w:p>
    <w:p w:rsidR="00BD551D" w:rsidRPr="00BD551D" w:rsidRDefault="00BD551D" w:rsidP="00BD551D">
      <w:pPr>
        <w:pStyle w:val="Listeafsnit"/>
        <w:numPr>
          <w:ilvl w:val="0"/>
          <w:numId w:val="33"/>
        </w:numPr>
      </w:pPr>
      <w:r w:rsidRPr="00BD551D">
        <w:t xml:space="preserve">hvordan personalet vejleder gæsterne til udgangene, og </w:t>
      </w:r>
    </w:p>
    <w:p w:rsidR="00BD551D" w:rsidRPr="00BD551D" w:rsidRDefault="00BD551D" w:rsidP="00BD551D">
      <w:pPr>
        <w:pStyle w:val="Listeafsnit"/>
        <w:numPr>
          <w:ilvl w:val="0"/>
          <w:numId w:val="33"/>
        </w:numPr>
      </w:pPr>
      <w:proofErr w:type="gramStart"/>
      <w:r w:rsidRPr="00BD551D">
        <w:t>hvordan slukningsmateriellet bemandes og anvendes.</w:t>
      </w:r>
      <w:proofErr w:type="gramEnd"/>
      <w:r w:rsidRPr="00BD551D">
        <w:t xml:space="preserve"> </w:t>
      </w:r>
    </w:p>
    <w:p w:rsidR="00BD551D" w:rsidRPr="00BD551D" w:rsidRDefault="00BD551D" w:rsidP="00BD551D">
      <w:r w:rsidRPr="00BD551D">
        <w:t xml:space="preserve">Brand- og evakueringsinstruksen ophænges steder, hvor personalet færdes. </w:t>
      </w:r>
    </w:p>
    <w:p w:rsidR="00BD551D" w:rsidRPr="00BD551D" w:rsidRDefault="00BD551D" w:rsidP="00BD551D">
      <w:r w:rsidRPr="00BD551D">
        <w:rPr>
          <w:b/>
          <w:bCs/>
        </w:rPr>
        <w:t xml:space="preserve">4.2.10 Orden </w:t>
      </w:r>
    </w:p>
    <w:p w:rsidR="00BD551D" w:rsidRPr="00846089" w:rsidRDefault="00BD551D" w:rsidP="00BD551D">
      <w:r w:rsidRPr="00846089">
        <w:t xml:space="preserve">Ved telte til mere en 150 personer, bør det af hensyn til brandsikkerheden sikres, at: </w:t>
      </w:r>
    </w:p>
    <w:p w:rsidR="008669D4" w:rsidRPr="00846089" w:rsidRDefault="008669D4" w:rsidP="00846089">
      <w:pPr>
        <w:pStyle w:val="Listeafsnit"/>
        <w:numPr>
          <w:ilvl w:val="0"/>
          <w:numId w:val="38"/>
        </w:numPr>
        <w:rPr>
          <w:rFonts w:cs="Times New Roman"/>
          <w:color w:val="000000"/>
        </w:rPr>
      </w:pPr>
      <w:r w:rsidRPr="00846089">
        <w:rPr>
          <w:rFonts w:cs="Times New Roman"/>
          <w:color w:val="000000"/>
        </w:rPr>
        <w:t xml:space="preserve">Området inden for 5 m fra forsamlingstelte ikke anvendes til andre formål, herunder parkering og lignende. </w:t>
      </w:r>
    </w:p>
    <w:p w:rsidR="008669D4" w:rsidRPr="00846089" w:rsidRDefault="00846089" w:rsidP="00846089">
      <w:pPr>
        <w:pStyle w:val="Listeafsnit"/>
        <w:numPr>
          <w:ilvl w:val="0"/>
          <w:numId w:val="38"/>
        </w:numPr>
        <w:rPr>
          <w:rFonts w:cs="Times New Roman"/>
          <w:color w:val="000000"/>
        </w:rPr>
      </w:pPr>
      <w:r w:rsidRPr="00846089">
        <w:rPr>
          <w:rFonts w:cs="Times New Roman"/>
          <w:color w:val="000000"/>
        </w:rPr>
        <w:t>D</w:t>
      </w:r>
      <w:r w:rsidR="008669D4" w:rsidRPr="00846089">
        <w:rPr>
          <w:rFonts w:cs="Times New Roman"/>
          <w:color w:val="000000"/>
        </w:rPr>
        <w:t xml:space="preserve">er ved udgange ikke parkeres motorkøretøjer, cykler m.v. Der må heller ikke være oplag, beplantning eller lignende, som kan hindre evakuering. </w:t>
      </w:r>
    </w:p>
    <w:p w:rsidR="008669D4" w:rsidRPr="00846089" w:rsidRDefault="008669D4" w:rsidP="00846089">
      <w:pPr>
        <w:pStyle w:val="Listeafsnit"/>
        <w:numPr>
          <w:ilvl w:val="0"/>
          <w:numId w:val="38"/>
        </w:numPr>
        <w:autoSpaceDE w:val="0"/>
        <w:autoSpaceDN w:val="0"/>
        <w:adjustRightInd w:val="0"/>
        <w:spacing w:after="0" w:line="240" w:lineRule="auto"/>
        <w:rPr>
          <w:rFonts w:cs="Times New Roman"/>
          <w:color w:val="000000"/>
        </w:rPr>
      </w:pPr>
      <w:r w:rsidRPr="00846089">
        <w:rPr>
          <w:rFonts w:cs="Times New Roman"/>
          <w:color w:val="000000"/>
        </w:rPr>
        <w:t>Den frie bredde af gangarealer ikke indskrænkes af master, tælleapparater, barduner, projektører m.v.</w:t>
      </w:r>
    </w:p>
    <w:p w:rsidR="00846089" w:rsidRPr="00846089" w:rsidRDefault="00846089" w:rsidP="00846089">
      <w:pPr>
        <w:pStyle w:val="Listeafsnit"/>
        <w:numPr>
          <w:ilvl w:val="0"/>
          <w:numId w:val="38"/>
        </w:numPr>
        <w:autoSpaceDE w:val="0"/>
        <w:autoSpaceDN w:val="0"/>
        <w:adjustRightInd w:val="0"/>
        <w:spacing w:after="0" w:line="240" w:lineRule="auto"/>
        <w:rPr>
          <w:rFonts w:cs="Times New Roman"/>
          <w:color w:val="000000"/>
        </w:rPr>
      </w:pPr>
      <w:r w:rsidRPr="00846089">
        <w:rPr>
          <w:rFonts w:cs="Times New Roman"/>
          <w:color w:val="000000"/>
        </w:rPr>
        <w:t xml:space="preserve">Større mængder af letantændelig vegetation fjernes inden for 10 m fra forsamlingsteltet. </w:t>
      </w:r>
    </w:p>
    <w:p w:rsidR="00D477BB" w:rsidRPr="00846089" w:rsidRDefault="00846089" w:rsidP="004565B2">
      <w:pPr>
        <w:pStyle w:val="Listeafsnit"/>
        <w:numPr>
          <w:ilvl w:val="0"/>
          <w:numId w:val="38"/>
        </w:numPr>
        <w:autoSpaceDE w:val="0"/>
        <w:autoSpaceDN w:val="0"/>
        <w:adjustRightInd w:val="0"/>
        <w:spacing w:after="0" w:line="240" w:lineRule="auto"/>
        <w:rPr>
          <w:rFonts w:cs="Times New Roman"/>
          <w:color w:val="000000"/>
        </w:rPr>
      </w:pPr>
      <w:r w:rsidRPr="00846089">
        <w:rPr>
          <w:rFonts w:cs="Times New Roman"/>
          <w:color w:val="000000"/>
        </w:rPr>
        <w:t xml:space="preserve">Placering og brug af kogeapparater, grill og lignende, bortset fra </w:t>
      </w:r>
      <w:proofErr w:type="spellStart"/>
      <w:r w:rsidRPr="00846089">
        <w:rPr>
          <w:rFonts w:cs="Times New Roman"/>
          <w:color w:val="000000"/>
        </w:rPr>
        <w:t>elkogeplader</w:t>
      </w:r>
      <w:proofErr w:type="spellEnd"/>
      <w:r w:rsidRPr="00846089">
        <w:rPr>
          <w:rFonts w:cs="Times New Roman"/>
          <w:color w:val="000000"/>
        </w:rPr>
        <w:t>, fremgår af pladsfordelingsplanen.</w:t>
      </w:r>
    </w:p>
    <w:sectPr w:rsidR="00D477BB" w:rsidRPr="00846089" w:rsidSect="00846089">
      <w:type w:val="continuous"/>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E57"/>
    <w:multiLevelType w:val="hybridMultilevel"/>
    <w:tmpl w:val="B5A8867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45C645F"/>
    <w:multiLevelType w:val="hybridMultilevel"/>
    <w:tmpl w:val="C3B8F3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8A46D3"/>
    <w:multiLevelType w:val="hybridMultilevel"/>
    <w:tmpl w:val="BBA8AB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C81597A"/>
    <w:multiLevelType w:val="hybridMultilevel"/>
    <w:tmpl w:val="CA0CC348"/>
    <w:lvl w:ilvl="0" w:tplc="6206EF8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4827403"/>
    <w:multiLevelType w:val="hybridMultilevel"/>
    <w:tmpl w:val="DBC832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8B75F40"/>
    <w:multiLevelType w:val="hybridMultilevel"/>
    <w:tmpl w:val="ABB23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AEE57CB"/>
    <w:multiLevelType w:val="hybridMultilevel"/>
    <w:tmpl w:val="CF708C82"/>
    <w:lvl w:ilvl="0" w:tplc="6206EF8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38D17EB"/>
    <w:multiLevelType w:val="hybridMultilevel"/>
    <w:tmpl w:val="A7BED2A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nsid w:val="24017AF9"/>
    <w:multiLevelType w:val="hybridMultilevel"/>
    <w:tmpl w:val="FCCA8408"/>
    <w:lvl w:ilvl="0" w:tplc="906C25E8">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46E58FF"/>
    <w:multiLevelType w:val="hybridMultilevel"/>
    <w:tmpl w:val="D90EA1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62474A9"/>
    <w:multiLevelType w:val="hybridMultilevel"/>
    <w:tmpl w:val="AC22456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93E5DBA"/>
    <w:multiLevelType w:val="hybridMultilevel"/>
    <w:tmpl w:val="84ECCC0A"/>
    <w:lvl w:ilvl="0" w:tplc="CF129A2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C5D1F24"/>
    <w:multiLevelType w:val="hybridMultilevel"/>
    <w:tmpl w:val="B28AF5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C5E3ACC"/>
    <w:multiLevelType w:val="hybridMultilevel"/>
    <w:tmpl w:val="49768D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E7041F2"/>
    <w:multiLevelType w:val="hybridMultilevel"/>
    <w:tmpl w:val="B16AA2AA"/>
    <w:lvl w:ilvl="0" w:tplc="DBC6F0B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080680B"/>
    <w:multiLevelType w:val="hybridMultilevel"/>
    <w:tmpl w:val="958820D4"/>
    <w:lvl w:ilvl="0" w:tplc="DBC6F0B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38E10E5"/>
    <w:multiLevelType w:val="hybridMultilevel"/>
    <w:tmpl w:val="BC8CCF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4902850"/>
    <w:multiLevelType w:val="hybridMultilevel"/>
    <w:tmpl w:val="75CEB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8B53CB6"/>
    <w:multiLevelType w:val="hybridMultilevel"/>
    <w:tmpl w:val="BA2EE4B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nsid w:val="3EE35403"/>
    <w:multiLevelType w:val="hybridMultilevel"/>
    <w:tmpl w:val="7BC833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07A53A3"/>
    <w:multiLevelType w:val="hybridMultilevel"/>
    <w:tmpl w:val="D53A8E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438B76FE"/>
    <w:multiLevelType w:val="hybridMultilevel"/>
    <w:tmpl w:val="91AA8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BE84934"/>
    <w:multiLevelType w:val="hybridMultilevel"/>
    <w:tmpl w:val="3B0A7E00"/>
    <w:lvl w:ilvl="0" w:tplc="CF129A26">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nsid w:val="4D4F20D4"/>
    <w:multiLevelType w:val="hybridMultilevel"/>
    <w:tmpl w:val="29C498EC"/>
    <w:lvl w:ilvl="0" w:tplc="CF129A2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EB25A76"/>
    <w:multiLevelType w:val="hybridMultilevel"/>
    <w:tmpl w:val="6A440C2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nsid w:val="50F81238"/>
    <w:multiLevelType w:val="hybridMultilevel"/>
    <w:tmpl w:val="4E243B48"/>
    <w:lvl w:ilvl="0" w:tplc="CF129A26">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6">
    <w:nsid w:val="576575F0"/>
    <w:multiLevelType w:val="hybridMultilevel"/>
    <w:tmpl w:val="6F0A737A"/>
    <w:lvl w:ilvl="0" w:tplc="CF129A26">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nsid w:val="59F856F9"/>
    <w:multiLevelType w:val="hybridMultilevel"/>
    <w:tmpl w:val="CDC21A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A280AA6"/>
    <w:multiLevelType w:val="hybridMultilevel"/>
    <w:tmpl w:val="7F882D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F7B4DB8"/>
    <w:multiLevelType w:val="hybridMultilevel"/>
    <w:tmpl w:val="AF0CF6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20A76FA"/>
    <w:multiLevelType w:val="hybridMultilevel"/>
    <w:tmpl w:val="58AC2686"/>
    <w:lvl w:ilvl="0" w:tplc="6206EF8E">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1">
    <w:nsid w:val="630D4395"/>
    <w:multiLevelType w:val="hybridMultilevel"/>
    <w:tmpl w:val="C498B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A870781"/>
    <w:multiLevelType w:val="hybridMultilevel"/>
    <w:tmpl w:val="28BE45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B9B6201"/>
    <w:multiLevelType w:val="hybridMultilevel"/>
    <w:tmpl w:val="A832FFA4"/>
    <w:lvl w:ilvl="0" w:tplc="906C25E8">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C1B0A05"/>
    <w:multiLevelType w:val="hybridMultilevel"/>
    <w:tmpl w:val="0AAA95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23F1A30"/>
    <w:multiLevelType w:val="hybridMultilevel"/>
    <w:tmpl w:val="CE2881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73C10299"/>
    <w:multiLevelType w:val="hybridMultilevel"/>
    <w:tmpl w:val="92C2AA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ECF2190"/>
    <w:multiLevelType w:val="hybridMultilevel"/>
    <w:tmpl w:val="A5D0A84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8"/>
  </w:num>
  <w:num w:numId="2">
    <w:abstractNumId w:val="3"/>
  </w:num>
  <w:num w:numId="3">
    <w:abstractNumId w:val="30"/>
  </w:num>
  <w:num w:numId="4">
    <w:abstractNumId w:val="7"/>
  </w:num>
  <w:num w:numId="5">
    <w:abstractNumId w:val="16"/>
  </w:num>
  <w:num w:numId="6">
    <w:abstractNumId w:val="6"/>
  </w:num>
  <w:num w:numId="7">
    <w:abstractNumId w:val="17"/>
  </w:num>
  <w:num w:numId="8">
    <w:abstractNumId w:val="1"/>
  </w:num>
  <w:num w:numId="9">
    <w:abstractNumId w:val="34"/>
  </w:num>
  <w:num w:numId="10">
    <w:abstractNumId w:val="14"/>
  </w:num>
  <w:num w:numId="11">
    <w:abstractNumId w:val="15"/>
  </w:num>
  <w:num w:numId="12">
    <w:abstractNumId w:val="5"/>
  </w:num>
  <w:num w:numId="13">
    <w:abstractNumId w:val="32"/>
  </w:num>
  <w:num w:numId="14">
    <w:abstractNumId w:val="21"/>
  </w:num>
  <w:num w:numId="15">
    <w:abstractNumId w:val="9"/>
  </w:num>
  <w:num w:numId="16">
    <w:abstractNumId w:val="33"/>
  </w:num>
  <w:num w:numId="17">
    <w:abstractNumId w:val="8"/>
  </w:num>
  <w:num w:numId="18">
    <w:abstractNumId w:val="23"/>
  </w:num>
  <w:num w:numId="19">
    <w:abstractNumId w:val="26"/>
  </w:num>
  <w:num w:numId="20">
    <w:abstractNumId w:val="22"/>
  </w:num>
  <w:num w:numId="21">
    <w:abstractNumId w:val="24"/>
  </w:num>
  <w:num w:numId="22">
    <w:abstractNumId w:val="25"/>
  </w:num>
  <w:num w:numId="23">
    <w:abstractNumId w:val="37"/>
  </w:num>
  <w:num w:numId="24">
    <w:abstractNumId w:val="18"/>
  </w:num>
  <w:num w:numId="25">
    <w:abstractNumId w:val="4"/>
  </w:num>
  <w:num w:numId="26">
    <w:abstractNumId w:val="11"/>
  </w:num>
  <w:num w:numId="27">
    <w:abstractNumId w:val="10"/>
  </w:num>
  <w:num w:numId="28">
    <w:abstractNumId w:val="36"/>
  </w:num>
  <w:num w:numId="29">
    <w:abstractNumId w:val="2"/>
  </w:num>
  <w:num w:numId="30">
    <w:abstractNumId w:val="29"/>
  </w:num>
  <w:num w:numId="31">
    <w:abstractNumId w:val="31"/>
  </w:num>
  <w:num w:numId="32">
    <w:abstractNumId w:val="20"/>
  </w:num>
  <w:num w:numId="33">
    <w:abstractNumId w:val="27"/>
  </w:num>
  <w:num w:numId="34">
    <w:abstractNumId w:val="12"/>
  </w:num>
  <w:num w:numId="35">
    <w:abstractNumId w:val="13"/>
  </w:num>
  <w:num w:numId="36">
    <w:abstractNumId w:val="35"/>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A7"/>
    <w:rsid w:val="000028BA"/>
    <w:rsid w:val="00020B21"/>
    <w:rsid w:val="00114F75"/>
    <w:rsid w:val="0018050F"/>
    <w:rsid w:val="001C7540"/>
    <w:rsid w:val="001F055D"/>
    <w:rsid w:val="002645E3"/>
    <w:rsid w:val="002F75A7"/>
    <w:rsid w:val="004456F3"/>
    <w:rsid w:val="004565B2"/>
    <w:rsid w:val="00516F18"/>
    <w:rsid w:val="00520BB5"/>
    <w:rsid w:val="006077A1"/>
    <w:rsid w:val="00626AB6"/>
    <w:rsid w:val="00694692"/>
    <w:rsid w:val="006967CB"/>
    <w:rsid w:val="006A6AA2"/>
    <w:rsid w:val="006B206C"/>
    <w:rsid w:val="007E3B49"/>
    <w:rsid w:val="00846089"/>
    <w:rsid w:val="008669D4"/>
    <w:rsid w:val="008F530F"/>
    <w:rsid w:val="00A041A4"/>
    <w:rsid w:val="00A24D99"/>
    <w:rsid w:val="00BD551D"/>
    <w:rsid w:val="00BE1F85"/>
    <w:rsid w:val="00BF632C"/>
    <w:rsid w:val="00C4212D"/>
    <w:rsid w:val="00C44335"/>
    <w:rsid w:val="00C61ABF"/>
    <w:rsid w:val="00D0186E"/>
    <w:rsid w:val="00D45E86"/>
    <w:rsid w:val="00D477BB"/>
    <w:rsid w:val="00E10ED5"/>
    <w:rsid w:val="00EB4E03"/>
    <w:rsid w:val="00EE0D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41A4"/>
    <w:pPr>
      <w:ind w:left="720"/>
      <w:contextualSpacing/>
    </w:pPr>
  </w:style>
  <w:style w:type="paragraph" w:customStyle="1" w:styleId="Default">
    <w:name w:val="Default"/>
    <w:rsid w:val="00BF632C"/>
    <w:pPr>
      <w:autoSpaceDE w:val="0"/>
      <w:autoSpaceDN w:val="0"/>
      <w:adjustRightInd w:val="0"/>
      <w:spacing w:after="0" w:line="240" w:lineRule="auto"/>
    </w:pPr>
    <w:rPr>
      <w:rFonts w:ascii="Times New Roman" w:hAnsi="Times New Roman" w:cs="Times New Roman"/>
      <w:color w:val="000000"/>
      <w:sz w:val="24"/>
      <w:szCs w:val="24"/>
    </w:rPr>
  </w:style>
  <w:style w:type="paragraph" w:styleId="Markeringsbobletekst">
    <w:name w:val="Balloon Text"/>
    <w:basedOn w:val="Normal"/>
    <w:link w:val="MarkeringsbobletekstTegn"/>
    <w:uiPriority w:val="99"/>
    <w:semiHidden/>
    <w:unhideWhenUsed/>
    <w:rsid w:val="00114F7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14F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41A4"/>
    <w:pPr>
      <w:ind w:left="720"/>
      <w:contextualSpacing/>
    </w:pPr>
  </w:style>
  <w:style w:type="paragraph" w:customStyle="1" w:styleId="Default">
    <w:name w:val="Default"/>
    <w:rsid w:val="00BF632C"/>
    <w:pPr>
      <w:autoSpaceDE w:val="0"/>
      <w:autoSpaceDN w:val="0"/>
      <w:adjustRightInd w:val="0"/>
      <w:spacing w:after="0" w:line="240" w:lineRule="auto"/>
    </w:pPr>
    <w:rPr>
      <w:rFonts w:ascii="Times New Roman" w:hAnsi="Times New Roman" w:cs="Times New Roman"/>
      <w:color w:val="000000"/>
      <w:sz w:val="24"/>
      <w:szCs w:val="24"/>
    </w:rPr>
  </w:style>
  <w:style w:type="paragraph" w:styleId="Markeringsbobletekst">
    <w:name w:val="Balloon Text"/>
    <w:basedOn w:val="Normal"/>
    <w:link w:val="MarkeringsbobletekstTegn"/>
    <w:uiPriority w:val="99"/>
    <w:semiHidden/>
    <w:unhideWhenUsed/>
    <w:rsid w:val="00114F7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14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8096">
      <w:bodyDiv w:val="1"/>
      <w:marLeft w:val="0"/>
      <w:marRight w:val="0"/>
      <w:marTop w:val="0"/>
      <w:marBottom w:val="0"/>
      <w:divBdr>
        <w:top w:val="none" w:sz="0" w:space="0" w:color="auto"/>
        <w:left w:val="none" w:sz="0" w:space="0" w:color="auto"/>
        <w:bottom w:val="none" w:sz="0" w:space="0" w:color="auto"/>
        <w:right w:val="none" w:sz="0" w:space="0" w:color="auto"/>
      </w:divBdr>
      <w:divsChild>
        <w:div w:id="627855603">
          <w:marLeft w:val="0"/>
          <w:marRight w:val="0"/>
          <w:marTop w:val="0"/>
          <w:marBottom w:val="0"/>
          <w:divBdr>
            <w:top w:val="none" w:sz="0" w:space="0" w:color="auto"/>
            <w:left w:val="none" w:sz="0" w:space="0" w:color="auto"/>
            <w:bottom w:val="none" w:sz="0" w:space="0" w:color="auto"/>
            <w:right w:val="none" w:sz="0" w:space="0" w:color="auto"/>
          </w:divBdr>
          <w:divsChild>
            <w:div w:id="1079524207">
              <w:marLeft w:val="0"/>
              <w:marRight w:val="0"/>
              <w:marTop w:val="0"/>
              <w:marBottom w:val="0"/>
              <w:divBdr>
                <w:top w:val="none" w:sz="0" w:space="0" w:color="auto"/>
                <w:left w:val="none" w:sz="0" w:space="0" w:color="auto"/>
                <w:bottom w:val="none" w:sz="0" w:space="0" w:color="auto"/>
                <w:right w:val="none" w:sz="0" w:space="0" w:color="auto"/>
              </w:divBdr>
              <w:divsChild>
                <w:div w:id="1071657435">
                  <w:marLeft w:val="0"/>
                  <w:marRight w:val="0"/>
                  <w:marTop w:val="0"/>
                  <w:marBottom w:val="0"/>
                  <w:divBdr>
                    <w:top w:val="none" w:sz="0" w:space="0" w:color="auto"/>
                    <w:left w:val="none" w:sz="0" w:space="0" w:color="auto"/>
                    <w:bottom w:val="none" w:sz="0" w:space="0" w:color="auto"/>
                    <w:right w:val="none" w:sz="0" w:space="0" w:color="auto"/>
                  </w:divBdr>
                  <w:divsChild>
                    <w:div w:id="1682318814">
                      <w:marLeft w:val="0"/>
                      <w:marRight w:val="0"/>
                      <w:marTop w:val="0"/>
                      <w:marBottom w:val="0"/>
                      <w:divBdr>
                        <w:top w:val="none" w:sz="0" w:space="0" w:color="auto"/>
                        <w:left w:val="none" w:sz="0" w:space="0" w:color="auto"/>
                        <w:bottom w:val="none" w:sz="0" w:space="0" w:color="auto"/>
                        <w:right w:val="none" w:sz="0" w:space="0" w:color="auto"/>
                      </w:divBdr>
                      <w:divsChild>
                        <w:div w:id="1470632343">
                          <w:marLeft w:val="0"/>
                          <w:marRight w:val="0"/>
                          <w:marTop w:val="0"/>
                          <w:marBottom w:val="0"/>
                          <w:divBdr>
                            <w:top w:val="none" w:sz="0" w:space="0" w:color="auto"/>
                            <w:left w:val="none" w:sz="0" w:space="0" w:color="auto"/>
                            <w:bottom w:val="none" w:sz="0" w:space="0" w:color="auto"/>
                            <w:right w:val="none" w:sz="0" w:space="0" w:color="auto"/>
                          </w:divBdr>
                          <w:divsChild>
                            <w:div w:id="2082286354">
                              <w:marLeft w:val="0"/>
                              <w:marRight w:val="0"/>
                              <w:marTop w:val="0"/>
                              <w:marBottom w:val="0"/>
                              <w:divBdr>
                                <w:top w:val="none" w:sz="0" w:space="0" w:color="auto"/>
                                <w:left w:val="none" w:sz="0" w:space="0" w:color="auto"/>
                                <w:bottom w:val="none" w:sz="0" w:space="0" w:color="auto"/>
                                <w:right w:val="none" w:sz="0" w:space="0" w:color="auto"/>
                              </w:divBdr>
                              <w:divsChild>
                                <w:div w:id="546180550">
                                  <w:marLeft w:val="0"/>
                                  <w:marRight w:val="0"/>
                                  <w:marTop w:val="225"/>
                                  <w:marBottom w:val="0"/>
                                  <w:divBdr>
                                    <w:top w:val="single" w:sz="2" w:space="13" w:color="C7C3BB"/>
                                    <w:left w:val="single" w:sz="2" w:space="13" w:color="C7C3BB"/>
                                    <w:bottom w:val="single" w:sz="2" w:space="13" w:color="C7C3BB"/>
                                    <w:right w:val="single" w:sz="2" w:space="13" w:color="C7C3BB"/>
                                  </w:divBdr>
                                  <w:divsChild>
                                    <w:div w:id="32964609">
                                      <w:marLeft w:val="0"/>
                                      <w:marRight w:val="0"/>
                                      <w:marTop w:val="0"/>
                                      <w:marBottom w:val="0"/>
                                      <w:divBdr>
                                        <w:top w:val="none" w:sz="0" w:space="0" w:color="auto"/>
                                        <w:left w:val="none" w:sz="0" w:space="0" w:color="auto"/>
                                        <w:bottom w:val="none" w:sz="0" w:space="0" w:color="auto"/>
                                        <w:right w:val="none" w:sz="0" w:space="0" w:color="auto"/>
                                      </w:divBdr>
                                      <w:divsChild>
                                        <w:div w:id="1853059610">
                                          <w:marLeft w:val="0"/>
                                          <w:marRight w:val="0"/>
                                          <w:marTop w:val="0"/>
                                          <w:marBottom w:val="0"/>
                                          <w:divBdr>
                                            <w:top w:val="none" w:sz="0" w:space="0" w:color="auto"/>
                                            <w:left w:val="none" w:sz="0" w:space="0" w:color="auto"/>
                                            <w:bottom w:val="none" w:sz="0" w:space="0" w:color="auto"/>
                                            <w:right w:val="none" w:sz="0" w:space="0" w:color="auto"/>
                                          </w:divBdr>
                                          <w:divsChild>
                                            <w:div w:id="325941233">
                                              <w:marLeft w:val="0"/>
                                              <w:marRight w:val="0"/>
                                              <w:marTop w:val="0"/>
                                              <w:marBottom w:val="0"/>
                                              <w:divBdr>
                                                <w:top w:val="single" w:sz="6" w:space="4" w:color="CB3F23"/>
                                                <w:left w:val="none" w:sz="0" w:space="0" w:color="auto"/>
                                                <w:bottom w:val="single" w:sz="6" w:space="4" w:color="CB3F23"/>
                                                <w:right w:val="none" w:sz="0" w:space="0" w:color="auto"/>
                                              </w:divBdr>
                                            </w:div>
                                            <w:div w:id="129128623">
                                              <w:marLeft w:val="0"/>
                                              <w:marRight w:val="0"/>
                                              <w:marTop w:val="0"/>
                                              <w:marBottom w:val="0"/>
                                              <w:divBdr>
                                                <w:top w:val="single" w:sz="6" w:space="4" w:color="CB3F23"/>
                                                <w:left w:val="none" w:sz="0" w:space="0" w:color="auto"/>
                                                <w:bottom w:val="single" w:sz="6" w:space="4" w:color="CB3F23"/>
                                                <w:right w:val="none" w:sz="0" w:space="0" w:color="auto"/>
                                              </w:divBdr>
                                            </w:div>
                                            <w:div w:id="1092120543">
                                              <w:marLeft w:val="0"/>
                                              <w:marRight w:val="0"/>
                                              <w:marTop w:val="0"/>
                                              <w:marBottom w:val="0"/>
                                              <w:divBdr>
                                                <w:top w:val="single" w:sz="6" w:space="4" w:color="CB3F23"/>
                                                <w:left w:val="none" w:sz="0" w:space="0" w:color="auto"/>
                                                <w:bottom w:val="single" w:sz="6" w:space="4" w:color="CB3F23"/>
                                                <w:right w:val="none" w:sz="0" w:space="0" w:color="auto"/>
                                              </w:divBdr>
                                            </w:div>
                                            <w:div w:id="1479224351">
                                              <w:marLeft w:val="0"/>
                                              <w:marRight w:val="0"/>
                                              <w:marTop w:val="0"/>
                                              <w:marBottom w:val="0"/>
                                              <w:divBdr>
                                                <w:top w:val="single" w:sz="6" w:space="4" w:color="CB3F23"/>
                                                <w:left w:val="none" w:sz="0" w:space="0" w:color="auto"/>
                                                <w:bottom w:val="single" w:sz="6" w:space="4" w:color="CB3F23"/>
                                                <w:right w:val="none" w:sz="0" w:space="0" w:color="auto"/>
                                              </w:divBdr>
                                            </w:div>
                                          </w:divsChild>
                                        </w:div>
                                      </w:divsChild>
                                    </w:div>
                                  </w:divsChild>
                                </w:div>
                              </w:divsChild>
                            </w:div>
                          </w:divsChild>
                        </w:div>
                      </w:divsChild>
                    </w:div>
                  </w:divsChild>
                </w:div>
              </w:divsChild>
            </w:div>
          </w:divsChild>
        </w:div>
      </w:divsChild>
    </w:div>
    <w:div w:id="146359438">
      <w:bodyDiv w:val="1"/>
      <w:marLeft w:val="0"/>
      <w:marRight w:val="0"/>
      <w:marTop w:val="0"/>
      <w:marBottom w:val="0"/>
      <w:divBdr>
        <w:top w:val="none" w:sz="0" w:space="0" w:color="auto"/>
        <w:left w:val="none" w:sz="0" w:space="0" w:color="auto"/>
        <w:bottom w:val="none" w:sz="0" w:space="0" w:color="auto"/>
        <w:right w:val="none" w:sz="0" w:space="0" w:color="auto"/>
      </w:divBdr>
    </w:div>
    <w:div w:id="255482650">
      <w:bodyDiv w:val="1"/>
      <w:marLeft w:val="0"/>
      <w:marRight w:val="0"/>
      <w:marTop w:val="0"/>
      <w:marBottom w:val="0"/>
      <w:divBdr>
        <w:top w:val="none" w:sz="0" w:space="0" w:color="auto"/>
        <w:left w:val="none" w:sz="0" w:space="0" w:color="auto"/>
        <w:bottom w:val="none" w:sz="0" w:space="0" w:color="auto"/>
        <w:right w:val="none" w:sz="0" w:space="0" w:color="auto"/>
      </w:divBdr>
      <w:divsChild>
        <w:div w:id="1305742968">
          <w:marLeft w:val="0"/>
          <w:marRight w:val="0"/>
          <w:marTop w:val="0"/>
          <w:marBottom w:val="0"/>
          <w:divBdr>
            <w:top w:val="none" w:sz="0" w:space="0" w:color="auto"/>
            <w:left w:val="none" w:sz="0" w:space="0" w:color="auto"/>
            <w:bottom w:val="none" w:sz="0" w:space="0" w:color="auto"/>
            <w:right w:val="none" w:sz="0" w:space="0" w:color="auto"/>
          </w:divBdr>
          <w:divsChild>
            <w:div w:id="17775902">
              <w:marLeft w:val="0"/>
              <w:marRight w:val="0"/>
              <w:marTop w:val="0"/>
              <w:marBottom w:val="0"/>
              <w:divBdr>
                <w:top w:val="none" w:sz="0" w:space="0" w:color="auto"/>
                <w:left w:val="none" w:sz="0" w:space="0" w:color="auto"/>
                <w:bottom w:val="none" w:sz="0" w:space="0" w:color="auto"/>
                <w:right w:val="none" w:sz="0" w:space="0" w:color="auto"/>
              </w:divBdr>
              <w:divsChild>
                <w:div w:id="723916394">
                  <w:marLeft w:val="0"/>
                  <w:marRight w:val="0"/>
                  <w:marTop w:val="0"/>
                  <w:marBottom w:val="0"/>
                  <w:divBdr>
                    <w:top w:val="none" w:sz="0" w:space="0" w:color="auto"/>
                    <w:left w:val="none" w:sz="0" w:space="0" w:color="auto"/>
                    <w:bottom w:val="none" w:sz="0" w:space="0" w:color="auto"/>
                    <w:right w:val="none" w:sz="0" w:space="0" w:color="auto"/>
                  </w:divBdr>
                  <w:divsChild>
                    <w:div w:id="1162965625">
                      <w:marLeft w:val="0"/>
                      <w:marRight w:val="0"/>
                      <w:marTop w:val="0"/>
                      <w:marBottom w:val="0"/>
                      <w:divBdr>
                        <w:top w:val="none" w:sz="0" w:space="0" w:color="auto"/>
                        <w:left w:val="none" w:sz="0" w:space="0" w:color="auto"/>
                        <w:bottom w:val="none" w:sz="0" w:space="0" w:color="auto"/>
                        <w:right w:val="none" w:sz="0" w:space="0" w:color="auto"/>
                      </w:divBdr>
                      <w:divsChild>
                        <w:div w:id="358819324">
                          <w:marLeft w:val="0"/>
                          <w:marRight w:val="0"/>
                          <w:marTop w:val="0"/>
                          <w:marBottom w:val="0"/>
                          <w:divBdr>
                            <w:top w:val="none" w:sz="0" w:space="0" w:color="auto"/>
                            <w:left w:val="none" w:sz="0" w:space="0" w:color="auto"/>
                            <w:bottom w:val="none" w:sz="0" w:space="0" w:color="auto"/>
                            <w:right w:val="none" w:sz="0" w:space="0" w:color="auto"/>
                          </w:divBdr>
                          <w:divsChild>
                            <w:div w:id="2062899323">
                              <w:marLeft w:val="0"/>
                              <w:marRight w:val="0"/>
                              <w:marTop w:val="0"/>
                              <w:marBottom w:val="0"/>
                              <w:divBdr>
                                <w:top w:val="none" w:sz="0" w:space="0" w:color="auto"/>
                                <w:left w:val="none" w:sz="0" w:space="0" w:color="auto"/>
                                <w:bottom w:val="none" w:sz="0" w:space="0" w:color="auto"/>
                                <w:right w:val="none" w:sz="0" w:space="0" w:color="auto"/>
                              </w:divBdr>
                              <w:divsChild>
                                <w:div w:id="419642649">
                                  <w:marLeft w:val="0"/>
                                  <w:marRight w:val="0"/>
                                  <w:marTop w:val="225"/>
                                  <w:marBottom w:val="0"/>
                                  <w:divBdr>
                                    <w:top w:val="single" w:sz="2" w:space="13" w:color="C7C3BB"/>
                                    <w:left w:val="single" w:sz="2" w:space="13" w:color="C7C3BB"/>
                                    <w:bottom w:val="single" w:sz="2" w:space="13" w:color="C7C3BB"/>
                                    <w:right w:val="single" w:sz="2" w:space="13" w:color="C7C3BB"/>
                                  </w:divBdr>
                                  <w:divsChild>
                                    <w:div w:id="1560896746">
                                      <w:marLeft w:val="0"/>
                                      <w:marRight w:val="0"/>
                                      <w:marTop w:val="0"/>
                                      <w:marBottom w:val="0"/>
                                      <w:divBdr>
                                        <w:top w:val="none" w:sz="0" w:space="0" w:color="auto"/>
                                        <w:left w:val="none" w:sz="0" w:space="0" w:color="auto"/>
                                        <w:bottom w:val="none" w:sz="0" w:space="0" w:color="auto"/>
                                        <w:right w:val="none" w:sz="0" w:space="0" w:color="auto"/>
                                      </w:divBdr>
                                      <w:divsChild>
                                        <w:div w:id="458765081">
                                          <w:marLeft w:val="0"/>
                                          <w:marRight w:val="0"/>
                                          <w:marTop w:val="0"/>
                                          <w:marBottom w:val="0"/>
                                          <w:divBdr>
                                            <w:top w:val="none" w:sz="0" w:space="0" w:color="auto"/>
                                            <w:left w:val="none" w:sz="0" w:space="0" w:color="auto"/>
                                            <w:bottom w:val="none" w:sz="0" w:space="0" w:color="auto"/>
                                            <w:right w:val="none" w:sz="0" w:space="0" w:color="auto"/>
                                          </w:divBdr>
                                          <w:divsChild>
                                            <w:div w:id="1527864469">
                                              <w:marLeft w:val="0"/>
                                              <w:marRight w:val="0"/>
                                              <w:marTop w:val="0"/>
                                              <w:marBottom w:val="0"/>
                                              <w:divBdr>
                                                <w:top w:val="single" w:sz="6" w:space="4" w:color="CB3F23"/>
                                                <w:left w:val="none" w:sz="0" w:space="0" w:color="auto"/>
                                                <w:bottom w:val="single" w:sz="6" w:space="4" w:color="CB3F23"/>
                                                <w:right w:val="none" w:sz="0" w:space="0" w:color="auto"/>
                                              </w:divBdr>
                                            </w:div>
                                            <w:div w:id="1694333560">
                                              <w:marLeft w:val="0"/>
                                              <w:marRight w:val="0"/>
                                              <w:marTop w:val="0"/>
                                              <w:marBottom w:val="0"/>
                                              <w:divBdr>
                                                <w:top w:val="single" w:sz="6" w:space="4" w:color="CB3F23"/>
                                                <w:left w:val="none" w:sz="0" w:space="0" w:color="auto"/>
                                                <w:bottom w:val="single" w:sz="6" w:space="4" w:color="CB3F23"/>
                                                <w:right w:val="none" w:sz="0" w:space="0" w:color="auto"/>
                                              </w:divBdr>
                                            </w:div>
                                          </w:divsChild>
                                        </w:div>
                                      </w:divsChild>
                                    </w:div>
                                  </w:divsChild>
                                </w:div>
                              </w:divsChild>
                            </w:div>
                          </w:divsChild>
                        </w:div>
                      </w:divsChild>
                    </w:div>
                  </w:divsChild>
                </w:div>
              </w:divsChild>
            </w:div>
          </w:divsChild>
        </w:div>
      </w:divsChild>
    </w:div>
    <w:div w:id="326324241">
      <w:bodyDiv w:val="1"/>
      <w:marLeft w:val="0"/>
      <w:marRight w:val="0"/>
      <w:marTop w:val="0"/>
      <w:marBottom w:val="0"/>
      <w:divBdr>
        <w:top w:val="none" w:sz="0" w:space="0" w:color="auto"/>
        <w:left w:val="none" w:sz="0" w:space="0" w:color="auto"/>
        <w:bottom w:val="none" w:sz="0" w:space="0" w:color="auto"/>
        <w:right w:val="none" w:sz="0" w:space="0" w:color="auto"/>
      </w:divBdr>
      <w:divsChild>
        <w:div w:id="1039401714">
          <w:marLeft w:val="0"/>
          <w:marRight w:val="0"/>
          <w:marTop w:val="0"/>
          <w:marBottom w:val="0"/>
          <w:divBdr>
            <w:top w:val="none" w:sz="0" w:space="0" w:color="auto"/>
            <w:left w:val="none" w:sz="0" w:space="0" w:color="auto"/>
            <w:bottom w:val="none" w:sz="0" w:space="0" w:color="auto"/>
            <w:right w:val="none" w:sz="0" w:space="0" w:color="auto"/>
          </w:divBdr>
          <w:divsChild>
            <w:div w:id="795563796">
              <w:marLeft w:val="0"/>
              <w:marRight w:val="0"/>
              <w:marTop w:val="0"/>
              <w:marBottom w:val="0"/>
              <w:divBdr>
                <w:top w:val="none" w:sz="0" w:space="0" w:color="auto"/>
                <w:left w:val="none" w:sz="0" w:space="0" w:color="auto"/>
                <w:bottom w:val="none" w:sz="0" w:space="0" w:color="auto"/>
                <w:right w:val="none" w:sz="0" w:space="0" w:color="auto"/>
              </w:divBdr>
              <w:divsChild>
                <w:div w:id="258024919">
                  <w:marLeft w:val="0"/>
                  <w:marRight w:val="0"/>
                  <w:marTop w:val="0"/>
                  <w:marBottom w:val="0"/>
                  <w:divBdr>
                    <w:top w:val="none" w:sz="0" w:space="0" w:color="auto"/>
                    <w:left w:val="none" w:sz="0" w:space="0" w:color="auto"/>
                    <w:bottom w:val="none" w:sz="0" w:space="0" w:color="auto"/>
                    <w:right w:val="none" w:sz="0" w:space="0" w:color="auto"/>
                  </w:divBdr>
                  <w:divsChild>
                    <w:div w:id="1016007681">
                      <w:marLeft w:val="0"/>
                      <w:marRight w:val="0"/>
                      <w:marTop w:val="0"/>
                      <w:marBottom w:val="0"/>
                      <w:divBdr>
                        <w:top w:val="none" w:sz="0" w:space="0" w:color="auto"/>
                        <w:left w:val="none" w:sz="0" w:space="0" w:color="auto"/>
                        <w:bottom w:val="none" w:sz="0" w:space="0" w:color="auto"/>
                        <w:right w:val="none" w:sz="0" w:space="0" w:color="auto"/>
                      </w:divBdr>
                      <w:divsChild>
                        <w:div w:id="1230455627">
                          <w:marLeft w:val="0"/>
                          <w:marRight w:val="0"/>
                          <w:marTop w:val="0"/>
                          <w:marBottom w:val="0"/>
                          <w:divBdr>
                            <w:top w:val="none" w:sz="0" w:space="0" w:color="auto"/>
                            <w:left w:val="none" w:sz="0" w:space="0" w:color="auto"/>
                            <w:bottom w:val="none" w:sz="0" w:space="0" w:color="auto"/>
                            <w:right w:val="none" w:sz="0" w:space="0" w:color="auto"/>
                          </w:divBdr>
                          <w:divsChild>
                            <w:div w:id="1397437">
                              <w:marLeft w:val="0"/>
                              <w:marRight w:val="0"/>
                              <w:marTop w:val="0"/>
                              <w:marBottom w:val="0"/>
                              <w:divBdr>
                                <w:top w:val="none" w:sz="0" w:space="0" w:color="auto"/>
                                <w:left w:val="none" w:sz="0" w:space="0" w:color="auto"/>
                                <w:bottom w:val="none" w:sz="0" w:space="0" w:color="auto"/>
                                <w:right w:val="none" w:sz="0" w:space="0" w:color="auto"/>
                              </w:divBdr>
                              <w:divsChild>
                                <w:div w:id="2086955018">
                                  <w:marLeft w:val="0"/>
                                  <w:marRight w:val="0"/>
                                  <w:marTop w:val="225"/>
                                  <w:marBottom w:val="0"/>
                                  <w:divBdr>
                                    <w:top w:val="single" w:sz="2" w:space="13" w:color="C7C3BB"/>
                                    <w:left w:val="single" w:sz="2" w:space="13" w:color="C7C3BB"/>
                                    <w:bottom w:val="single" w:sz="2" w:space="13" w:color="C7C3BB"/>
                                    <w:right w:val="single" w:sz="2" w:space="13" w:color="C7C3BB"/>
                                  </w:divBdr>
                                  <w:divsChild>
                                    <w:div w:id="1353341371">
                                      <w:marLeft w:val="0"/>
                                      <w:marRight w:val="0"/>
                                      <w:marTop w:val="0"/>
                                      <w:marBottom w:val="0"/>
                                      <w:divBdr>
                                        <w:top w:val="none" w:sz="0" w:space="0" w:color="auto"/>
                                        <w:left w:val="none" w:sz="0" w:space="0" w:color="auto"/>
                                        <w:bottom w:val="none" w:sz="0" w:space="0" w:color="auto"/>
                                        <w:right w:val="none" w:sz="0" w:space="0" w:color="auto"/>
                                      </w:divBdr>
                                      <w:divsChild>
                                        <w:div w:id="229079878">
                                          <w:marLeft w:val="0"/>
                                          <w:marRight w:val="0"/>
                                          <w:marTop w:val="0"/>
                                          <w:marBottom w:val="0"/>
                                          <w:divBdr>
                                            <w:top w:val="none" w:sz="0" w:space="0" w:color="auto"/>
                                            <w:left w:val="none" w:sz="0" w:space="0" w:color="auto"/>
                                            <w:bottom w:val="none" w:sz="0" w:space="0" w:color="auto"/>
                                            <w:right w:val="none" w:sz="0" w:space="0" w:color="auto"/>
                                          </w:divBdr>
                                          <w:divsChild>
                                            <w:div w:id="787241629">
                                              <w:marLeft w:val="0"/>
                                              <w:marRight w:val="0"/>
                                              <w:marTop w:val="0"/>
                                              <w:marBottom w:val="0"/>
                                              <w:divBdr>
                                                <w:top w:val="single" w:sz="6" w:space="4" w:color="CB3F23"/>
                                                <w:left w:val="none" w:sz="0" w:space="0" w:color="auto"/>
                                                <w:bottom w:val="single" w:sz="6" w:space="4" w:color="CB3F23"/>
                                                <w:right w:val="none" w:sz="0" w:space="0" w:color="auto"/>
                                              </w:divBdr>
                                            </w:div>
                                            <w:div w:id="1779641807">
                                              <w:marLeft w:val="0"/>
                                              <w:marRight w:val="0"/>
                                              <w:marTop w:val="0"/>
                                              <w:marBottom w:val="0"/>
                                              <w:divBdr>
                                                <w:top w:val="single" w:sz="6" w:space="4" w:color="CB3F23"/>
                                                <w:left w:val="none" w:sz="0" w:space="0" w:color="auto"/>
                                                <w:bottom w:val="single" w:sz="6" w:space="4" w:color="CB3F23"/>
                                                <w:right w:val="none" w:sz="0" w:space="0" w:color="auto"/>
                                              </w:divBdr>
                                            </w:div>
                                          </w:divsChild>
                                        </w:div>
                                      </w:divsChild>
                                    </w:div>
                                  </w:divsChild>
                                </w:div>
                              </w:divsChild>
                            </w:div>
                          </w:divsChild>
                        </w:div>
                      </w:divsChild>
                    </w:div>
                  </w:divsChild>
                </w:div>
              </w:divsChild>
            </w:div>
          </w:divsChild>
        </w:div>
      </w:divsChild>
    </w:div>
    <w:div w:id="543443720">
      <w:bodyDiv w:val="1"/>
      <w:marLeft w:val="0"/>
      <w:marRight w:val="0"/>
      <w:marTop w:val="0"/>
      <w:marBottom w:val="0"/>
      <w:divBdr>
        <w:top w:val="none" w:sz="0" w:space="0" w:color="auto"/>
        <w:left w:val="none" w:sz="0" w:space="0" w:color="auto"/>
        <w:bottom w:val="none" w:sz="0" w:space="0" w:color="auto"/>
        <w:right w:val="none" w:sz="0" w:space="0" w:color="auto"/>
      </w:divBdr>
      <w:divsChild>
        <w:div w:id="108285111">
          <w:marLeft w:val="0"/>
          <w:marRight w:val="0"/>
          <w:marTop w:val="0"/>
          <w:marBottom w:val="0"/>
          <w:divBdr>
            <w:top w:val="none" w:sz="0" w:space="0" w:color="auto"/>
            <w:left w:val="none" w:sz="0" w:space="0" w:color="auto"/>
            <w:bottom w:val="none" w:sz="0" w:space="0" w:color="auto"/>
            <w:right w:val="none" w:sz="0" w:space="0" w:color="auto"/>
          </w:divBdr>
          <w:divsChild>
            <w:div w:id="1040977474">
              <w:marLeft w:val="0"/>
              <w:marRight w:val="0"/>
              <w:marTop w:val="0"/>
              <w:marBottom w:val="0"/>
              <w:divBdr>
                <w:top w:val="none" w:sz="0" w:space="0" w:color="auto"/>
                <w:left w:val="none" w:sz="0" w:space="0" w:color="auto"/>
                <w:bottom w:val="none" w:sz="0" w:space="0" w:color="auto"/>
                <w:right w:val="none" w:sz="0" w:space="0" w:color="auto"/>
              </w:divBdr>
              <w:divsChild>
                <w:div w:id="432241344">
                  <w:marLeft w:val="0"/>
                  <w:marRight w:val="0"/>
                  <w:marTop w:val="0"/>
                  <w:marBottom w:val="0"/>
                  <w:divBdr>
                    <w:top w:val="none" w:sz="0" w:space="0" w:color="auto"/>
                    <w:left w:val="none" w:sz="0" w:space="0" w:color="auto"/>
                    <w:bottom w:val="none" w:sz="0" w:space="0" w:color="auto"/>
                    <w:right w:val="none" w:sz="0" w:space="0" w:color="auto"/>
                  </w:divBdr>
                  <w:divsChild>
                    <w:div w:id="892884011">
                      <w:marLeft w:val="0"/>
                      <w:marRight w:val="0"/>
                      <w:marTop w:val="0"/>
                      <w:marBottom w:val="0"/>
                      <w:divBdr>
                        <w:top w:val="none" w:sz="0" w:space="0" w:color="auto"/>
                        <w:left w:val="none" w:sz="0" w:space="0" w:color="auto"/>
                        <w:bottom w:val="none" w:sz="0" w:space="0" w:color="auto"/>
                        <w:right w:val="none" w:sz="0" w:space="0" w:color="auto"/>
                      </w:divBdr>
                      <w:divsChild>
                        <w:div w:id="1770660971">
                          <w:marLeft w:val="0"/>
                          <w:marRight w:val="0"/>
                          <w:marTop w:val="0"/>
                          <w:marBottom w:val="0"/>
                          <w:divBdr>
                            <w:top w:val="none" w:sz="0" w:space="0" w:color="auto"/>
                            <w:left w:val="none" w:sz="0" w:space="0" w:color="auto"/>
                            <w:bottom w:val="none" w:sz="0" w:space="0" w:color="auto"/>
                            <w:right w:val="none" w:sz="0" w:space="0" w:color="auto"/>
                          </w:divBdr>
                          <w:divsChild>
                            <w:div w:id="1387728386">
                              <w:marLeft w:val="0"/>
                              <w:marRight w:val="0"/>
                              <w:marTop w:val="0"/>
                              <w:marBottom w:val="0"/>
                              <w:divBdr>
                                <w:top w:val="none" w:sz="0" w:space="0" w:color="auto"/>
                                <w:left w:val="none" w:sz="0" w:space="0" w:color="auto"/>
                                <w:bottom w:val="none" w:sz="0" w:space="0" w:color="auto"/>
                                <w:right w:val="none" w:sz="0" w:space="0" w:color="auto"/>
                              </w:divBdr>
                              <w:divsChild>
                                <w:div w:id="1303659166">
                                  <w:marLeft w:val="0"/>
                                  <w:marRight w:val="0"/>
                                  <w:marTop w:val="225"/>
                                  <w:marBottom w:val="0"/>
                                  <w:divBdr>
                                    <w:top w:val="single" w:sz="2" w:space="13" w:color="C7C3BB"/>
                                    <w:left w:val="single" w:sz="2" w:space="13" w:color="C7C3BB"/>
                                    <w:bottom w:val="single" w:sz="2" w:space="13" w:color="C7C3BB"/>
                                    <w:right w:val="single" w:sz="2" w:space="13" w:color="C7C3BB"/>
                                  </w:divBdr>
                                  <w:divsChild>
                                    <w:div w:id="1588461987">
                                      <w:marLeft w:val="0"/>
                                      <w:marRight w:val="0"/>
                                      <w:marTop w:val="0"/>
                                      <w:marBottom w:val="0"/>
                                      <w:divBdr>
                                        <w:top w:val="none" w:sz="0" w:space="0" w:color="auto"/>
                                        <w:left w:val="none" w:sz="0" w:space="0" w:color="auto"/>
                                        <w:bottom w:val="none" w:sz="0" w:space="0" w:color="auto"/>
                                        <w:right w:val="none" w:sz="0" w:space="0" w:color="auto"/>
                                      </w:divBdr>
                                      <w:divsChild>
                                        <w:div w:id="1590888948">
                                          <w:marLeft w:val="0"/>
                                          <w:marRight w:val="0"/>
                                          <w:marTop w:val="0"/>
                                          <w:marBottom w:val="0"/>
                                          <w:divBdr>
                                            <w:top w:val="none" w:sz="0" w:space="0" w:color="auto"/>
                                            <w:left w:val="none" w:sz="0" w:space="0" w:color="auto"/>
                                            <w:bottom w:val="none" w:sz="0" w:space="0" w:color="auto"/>
                                            <w:right w:val="none" w:sz="0" w:space="0" w:color="auto"/>
                                          </w:divBdr>
                                          <w:divsChild>
                                            <w:div w:id="1526480133">
                                              <w:marLeft w:val="0"/>
                                              <w:marRight w:val="0"/>
                                              <w:marTop w:val="0"/>
                                              <w:marBottom w:val="0"/>
                                              <w:divBdr>
                                                <w:top w:val="single" w:sz="6" w:space="4" w:color="CB3F23"/>
                                                <w:left w:val="none" w:sz="0" w:space="0" w:color="auto"/>
                                                <w:bottom w:val="single" w:sz="6" w:space="4" w:color="CB3F23"/>
                                                <w:right w:val="none" w:sz="0" w:space="0" w:color="auto"/>
                                              </w:divBdr>
                                            </w:div>
                                            <w:div w:id="2126271322">
                                              <w:marLeft w:val="0"/>
                                              <w:marRight w:val="0"/>
                                              <w:marTop w:val="0"/>
                                              <w:marBottom w:val="0"/>
                                              <w:divBdr>
                                                <w:top w:val="single" w:sz="6" w:space="4" w:color="CB3F23"/>
                                                <w:left w:val="none" w:sz="0" w:space="0" w:color="auto"/>
                                                <w:bottom w:val="single" w:sz="6" w:space="4" w:color="CB3F23"/>
                                                <w:right w:val="none" w:sz="0" w:space="0" w:color="auto"/>
                                              </w:divBdr>
                                            </w:div>
                                            <w:div w:id="1082408622">
                                              <w:marLeft w:val="0"/>
                                              <w:marRight w:val="0"/>
                                              <w:marTop w:val="0"/>
                                              <w:marBottom w:val="0"/>
                                              <w:divBdr>
                                                <w:top w:val="single" w:sz="6" w:space="4" w:color="CB3F23"/>
                                                <w:left w:val="none" w:sz="0" w:space="0" w:color="auto"/>
                                                <w:bottom w:val="single" w:sz="6" w:space="4" w:color="CB3F23"/>
                                                <w:right w:val="none" w:sz="0" w:space="0" w:color="auto"/>
                                              </w:divBdr>
                                            </w:div>
                                            <w:div w:id="710619217">
                                              <w:marLeft w:val="0"/>
                                              <w:marRight w:val="0"/>
                                              <w:marTop w:val="0"/>
                                              <w:marBottom w:val="0"/>
                                              <w:divBdr>
                                                <w:top w:val="single" w:sz="6" w:space="4" w:color="CB3F23"/>
                                                <w:left w:val="none" w:sz="0" w:space="0" w:color="auto"/>
                                                <w:bottom w:val="single" w:sz="6" w:space="4" w:color="CB3F23"/>
                                                <w:right w:val="none" w:sz="0" w:space="0" w:color="auto"/>
                                              </w:divBdr>
                                            </w:div>
                                          </w:divsChild>
                                        </w:div>
                                      </w:divsChild>
                                    </w:div>
                                  </w:divsChild>
                                </w:div>
                              </w:divsChild>
                            </w:div>
                          </w:divsChild>
                        </w:div>
                      </w:divsChild>
                    </w:div>
                  </w:divsChild>
                </w:div>
              </w:divsChild>
            </w:div>
          </w:divsChild>
        </w:div>
      </w:divsChild>
    </w:div>
    <w:div w:id="838889094">
      <w:bodyDiv w:val="1"/>
      <w:marLeft w:val="0"/>
      <w:marRight w:val="0"/>
      <w:marTop w:val="0"/>
      <w:marBottom w:val="0"/>
      <w:divBdr>
        <w:top w:val="none" w:sz="0" w:space="0" w:color="auto"/>
        <w:left w:val="none" w:sz="0" w:space="0" w:color="auto"/>
        <w:bottom w:val="none" w:sz="0" w:space="0" w:color="auto"/>
        <w:right w:val="none" w:sz="0" w:space="0" w:color="auto"/>
      </w:divBdr>
      <w:divsChild>
        <w:div w:id="1147283957">
          <w:marLeft w:val="0"/>
          <w:marRight w:val="0"/>
          <w:marTop w:val="0"/>
          <w:marBottom w:val="0"/>
          <w:divBdr>
            <w:top w:val="none" w:sz="0" w:space="0" w:color="auto"/>
            <w:left w:val="none" w:sz="0" w:space="0" w:color="auto"/>
            <w:bottom w:val="none" w:sz="0" w:space="0" w:color="auto"/>
            <w:right w:val="none" w:sz="0" w:space="0" w:color="auto"/>
          </w:divBdr>
          <w:divsChild>
            <w:div w:id="1603222390">
              <w:marLeft w:val="0"/>
              <w:marRight w:val="0"/>
              <w:marTop w:val="0"/>
              <w:marBottom w:val="0"/>
              <w:divBdr>
                <w:top w:val="none" w:sz="0" w:space="0" w:color="auto"/>
                <w:left w:val="none" w:sz="0" w:space="0" w:color="auto"/>
                <w:bottom w:val="none" w:sz="0" w:space="0" w:color="auto"/>
                <w:right w:val="none" w:sz="0" w:space="0" w:color="auto"/>
              </w:divBdr>
              <w:divsChild>
                <w:div w:id="1729378337">
                  <w:marLeft w:val="0"/>
                  <w:marRight w:val="0"/>
                  <w:marTop w:val="0"/>
                  <w:marBottom w:val="0"/>
                  <w:divBdr>
                    <w:top w:val="none" w:sz="0" w:space="0" w:color="auto"/>
                    <w:left w:val="none" w:sz="0" w:space="0" w:color="auto"/>
                    <w:bottom w:val="none" w:sz="0" w:space="0" w:color="auto"/>
                    <w:right w:val="none" w:sz="0" w:space="0" w:color="auto"/>
                  </w:divBdr>
                  <w:divsChild>
                    <w:div w:id="1989163041">
                      <w:marLeft w:val="0"/>
                      <w:marRight w:val="0"/>
                      <w:marTop w:val="0"/>
                      <w:marBottom w:val="0"/>
                      <w:divBdr>
                        <w:top w:val="none" w:sz="0" w:space="0" w:color="auto"/>
                        <w:left w:val="none" w:sz="0" w:space="0" w:color="auto"/>
                        <w:bottom w:val="none" w:sz="0" w:space="0" w:color="auto"/>
                        <w:right w:val="none" w:sz="0" w:space="0" w:color="auto"/>
                      </w:divBdr>
                      <w:divsChild>
                        <w:div w:id="888103022">
                          <w:marLeft w:val="0"/>
                          <w:marRight w:val="0"/>
                          <w:marTop w:val="0"/>
                          <w:marBottom w:val="0"/>
                          <w:divBdr>
                            <w:top w:val="none" w:sz="0" w:space="0" w:color="auto"/>
                            <w:left w:val="none" w:sz="0" w:space="0" w:color="auto"/>
                            <w:bottom w:val="none" w:sz="0" w:space="0" w:color="auto"/>
                            <w:right w:val="none" w:sz="0" w:space="0" w:color="auto"/>
                          </w:divBdr>
                          <w:divsChild>
                            <w:div w:id="175077582">
                              <w:marLeft w:val="0"/>
                              <w:marRight w:val="0"/>
                              <w:marTop w:val="0"/>
                              <w:marBottom w:val="0"/>
                              <w:divBdr>
                                <w:top w:val="none" w:sz="0" w:space="0" w:color="auto"/>
                                <w:left w:val="none" w:sz="0" w:space="0" w:color="auto"/>
                                <w:bottom w:val="none" w:sz="0" w:space="0" w:color="auto"/>
                                <w:right w:val="none" w:sz="0" w:space="0" w:color="auto"/>
                              </w:divBdr>
                              <w:divsChild>
                                <w:div w:id="1002005901">
                                  <w:marLeft w:val="0"/>
                                  <w:marRight w:val="0"/>
                                  <w:marTop w:val="225"/>
                                  <w:marBottom w:val="0"/>
                                  <w:divBdr>
                                    <w:top w:val="single" w:sz="2" w:space="13" w:color="C7C3BB"/>
                                    <w:left w:val="single" w:sz="2" w:space="13" w:color="C7C3BB"/>
                                    <w:bottom w:val="single" w:sz="2" w:space="13" w:color="C7C3BB"/>
                                    <w:right w:val="single" w:sz="2" w:space="13" w:color="C7C3BB"/>
                                  </w:divBdr>
                                  <w:divsChild>
                                    <w:div w:id="1545097587">
                                      <w:marLeft w:val="0"/>
                                      <w:marRight w:val="0"/>
                                      <w:marTop w:val="0"/>
                                      <w:marBottom w:val="0"/>
                                      <w:divBdr>
                                        <w:top w:val="none" w:sz="0" w:space="0" w:color="auto"/>
                                        <w:left w:val="none" w:sz="0" w:space="0" w:color="auto"/>
                                        <w:bottom w:val="none" w:sz="0" w:space="0" w:color="auto"/>
                                        <w:right w:val="none" w:sz="0" w:space="0" w:color="auto"/>
                                      </w:divBdr>
                                      <w:divsChild>
                                        <w:div w:id="1687098108">
                                          <w:marLeft w:val="0"/>
                                          <w:marRight w:val="0"/>
                                          <w:marTop w:val="0"/>
                                          <w:marBottom w:val="0"/>
                                          <w:divBdr>
                                            <w:top w:val="none" w:sz="0" w:space="0" w:color="auto"/>
                                            <w:left w:val="none" w:sz="0" w:space="0" w:color="auto"/>
                                            <w:bottom w:val="none" w:sz="0" w:space="0" w:color="auto"/>
                                            <w:right w:val="none" w:sz="0" w:space="0" w:color="auto"/>
                                          </w:divBdr>
                                          <w:divsChild>
                                            <w:div w:id="1663313126">
                                              <w:marLeft w:val="0"/>
                                              <w:marRight w:val="0"/>
                                              <w:marTop w:val="0"/>
                                              <w:marBottom w:val="0"/>
                                              <w:divBdr>
                                                <w:top w:val="single" w:sz="6" w:space="4" w:color="CB3F23"/>
                                                <w:left w:val="none" w:sz="0" w:space="0" w:color="auto"/>
                                                <w:bottom w:val="single" w:sz="6" w:space="4" w:color="CB3F23"/>
                                                <w:right w:val="none" w:sz="0" w:space="0" w:color="auto"/>
                                              </w:divBdr>
                                            </w:div>
                                            <w:div w:id="360984553">
                                              <w:marLeft w:val="0"/>
                                              <w:marRight w:val="0"/>
                                              <w:marTop w:val="0"/>
                                              <w:marBottom w:val="0"/>
                                              <w:divBdr>
                                                <w:top w:val="single" w:sz="6" w:space="4" w:color="CB3F23"/>
                                                <w:left w:val="none" w:sz="0" w:space="0" w:color="auto"/>
                                                <w:bottom w:val="single" w:sz="6" w:space="4" w:color="CB3F23"/>
                                                <w:right w:val="none" w:sz="0" w:space="0" w:color="auto"/>
                                              </w:divBdr>
                                            </w:div>
                                          </w:divsChild>
                                        </w:div>
                                      </w:divsChild>
                                    </w:div>
                                  </w:divsChild>
                                </w:div>
                              </w:divsChild>
                            </w:div>
                          </w:divsChild>
                        </w:div>
                      </w:divsChild>
                    </w:div>
                  </w:divsChild>
                </w:div>
              </w:divsChild>
            </w:div>
          </w:divsChild>
        </w:div>
      </w:divsChild>
    </w:div>
    <w:div w:id="1349940665">
      <w:bodyDiv w:val="1"/>
      <w:marLeft w:val="0"/>
      <w:marRight w:val="0"/>
      <w:marTop w:val="0"/>
      <w:marBottom w:val="0"/>
      <w:divBdr>
        <w:top w:val="none" w:sz="0" w:space="0" w:color="auto"/>
        <w:left w:val="none" w:sz="0" w:space="0" w:color="auto"/>
        <w:bottom w:val="none" w:sz="0" w:space="0" w:color="auto"/>
        <w:right w:val="none" w:sz="0" w:space="0" w:color="auto"/>
      </w:divBdr>
      <w:divsChild>
        <w:div w:id="1515609250">
          <w:marLeft w:val="0"/>
          <w:marRight w:val="0"/>
          <w:marTop w:val="0"/>
          <w:marBottom w:val="0"/>
          <w:divBdr>
            <w:top w:val="none" w:sz="0" w:space="0" w:color="auto"/>
            <w:left w:val="none" w:sz="0" w:space="0" w:color="auto"/>
            <w:bottom w:val="none" w:sz="0" w:space="0" w:color="auto"/>
            <w:right w:val="none" w:sz="0" w:space="0" w:color="auto"/>
          </w:divBdr>
          <w:divsChild>
            <w:div w:id="1218934254">
              <w:marLeft w:val="0"/>
              <w:marRight w:val="0"/>
              <w:marTop w:val="0"/>
              <w:marBottom w:val="0"/>
              <w:divBdr>
                <w:top w:val="none" w:sz="0" w:space="0" w:color="auto"/>
                <w:left w:val="none" w:sz="0" w:space="0" w:color="auto"/>
                <w:bottom w:val="none" w:sz="0" w:space="0" w:color="auto"/>
                <w:right w:val="none" w:sz="0" w:space="0" w:color="auto"/>
              </w:divBdr>
              <w:divsChild>
                <w:div w:id="971328673">
                  <w:marLeft w:val="0"/>
                  <w:marRight w:val="0"/>
                  <w:marTop w:val="0"/>
                  <w:marBottom w:val="0"/>
                  <w:divBdr>
                    <w:top w:val="none" w:sz="0" w:space="0" w:color="auto"/>
                    <w:left w:val="none" w:sz="0" w:space="0" w:color="auto"/>
                    <w:bottom w:val="none" w:sz="0" w:space="0" w:color="auto"/>
                    <w:right w:val="none" w:sz="0" w:space="0" w:color="auto"/>
                  </w:divBdr>
                  <w:divsChild>
                    <w:div w:id="794906404">
                      <w:marLeft w:val="0"/>
                      <w:marRight w:val="0"/>
                      <w:marTop w:val="0"/>
                      <w:marBottom w:val="0"/>
                      <w:divBdr>
                        <w:top w:val="none" w:sz="0" w:space="0" w:color="auto"/>
                        <w:left w:val="none" w:sz="0" w:space="0" w:color="auto"/>
                        <w:bottom w:val="none" w:sz="0" w:space="0" w:color="auto"/>
                        <w:right w:val="none" w:sz="0" w:space="0" w:color="auto"/>
                      </w:divBdr>
                      <w:divsChild>
                        <w:div w:id="1148941611">
                          <w:marLeft w:val="0"/>
                          <w:marRight w:val="0"/>
                          <w:marTop w:val="0"/>
                          <w:marBottom w:val="0"/>
                          <w:divBdr>
                            <w:top w:val="none" w:sz="0" w:space="0" w:color="auto"/>
                            <w:left w:val="none" w:sz="0" w:space="0" w:color="auto"/>
                            <w:bottom w:val="none" w:sz="0" w:space="0" w:color="auto"/>
                            <w:right w:val="none" w:sz="0" w:space="0" w:color="auto"/>
                          </w:divBdr>
                          <w:divsChild>
                            <w:div w:id="2101484371">
                              <w:marLeft w:val="0"/>
                              <w:marRight w:val="0"/>
                              <w:marTop w:val="0"/>
                              <w:marBottom w:val="0"/>
                              <w:divBdr>
                                <w:top w:val="none" w:sz="0" w:space="0" w:color="auto"/>
                                <w:left w:val="none" w:sz="0" w:space="0" w:color="auto"/>
                                <w:bottom w:val="none" w:sz="0" w:space="0" w:color="auto"/>
                                <w:right w:val="none" w:sz="0" w:space="0" w:color="auto"/>
                              </w:divBdr>
                              <w:divsChild>
                                <w:div w:id="975185983">
                                  <w:marLeft w:val="0"/>
                                  <w:marRight w:val="0"/>
                                  <w:marTop w:val="225"/>
                                  <w:marBottom w:val="0"/>
                                  <w:divBdr>
                                    <w:top w:val="single" w:sz="2" w:space="13" w:color="C7C3BB"/>
                                    <w:left w:val="single" w:sz="2" w:space="13" w:color="C7C3BB"/>
                                    <w:bottom w:val="single" w:sz="2" w:space="13" w:color="C7C3BB"/>
                                    <w:right w:val="single" w:sz="2" w:space="13" w:color="C7C3BB"/>
                                  </w:divBdr>
                                  <w:divsChild>
                                    <w:div w:id="352078011">
                                      <w:marLeft w:val="0"/>
                                      <w:marRight w:val="0"/>
                                      <w:marTop w:val="0"/>
                                      <w:marBottom w:val="0"/>
                                      <w:divBdr>
                                        <w:top w:val="none" w:sz="0" w:space="0" w:color="auto"/>
                                        <w:left w:val="none" w:sz="0" w:space="0" w:color="auto"/>
                                        <w:bottom w:val="none" w:sz="0" w:space="0" w:color="auto"/>
                                        <w:right w:val="none" w:sz="0" w:space="0" w:color="auto"/>
                                      </w:divBdr>
                                      <w:divsChild>
                                        <w:div w:id="800808984">
                                          <w:marLeft w:val="0"/>
                                          <w:marRight w:val="0"/>
                                          <w:marTop w:val="0"/>
                                          <w:marBottom w:val="0"/>
                                          <w:divBdr>
                                            <w:top w:val="none" w:sz="0" w:space="0" w:color="auto"/>
                                            <w:left w:val="none" w:sz="0" w:space="0" w:color="auto"/>
                                            <w:bottom w:val="none" w:sz="0" w:space="0" w:color="auto"/>
                                            <w:right w:val="none" w:sz="0" w:space="0" w:color="auto"/>
                                          </w:divBdr>
                                          <w:divsChild>
                                            <w:div w:id="1992902356">
                                              <w:marLeft w:val="0"/>
                                              <w:marRight w:val="0"/>
                                              <w:marTop w:val="0"/>
                                              <w:marBottom w:val="0"/>
                                              <w:divBdr>
                                                <w:top w:val="single" w:sz="6" w:space="4" w:color="CB3F23"/>
                                                <w:left w:val="none" w:sz="0" w:space="0" w:color="auto"/>
                                                <w:bottom w:val="single" w:sz="6" w:space="4" w:color="CB3F23"/>
                                                <w:right w:val="none" w:sz="0" w:space="0" w:color="auto"/>
                                              </w:divBdr>
                                            </w:div>
                                            <w:div w:id="1142309454">
                                              <w:marLeft w:val="0"/>
                                              <w:marRight w:val="0"/>
                                              <w:marTop w:val="0"/>
                                              <w:marBottom w:val="0"/>
                                              <w:divBdr>
                                                <w:top w:val="single" w:sz="6" w:space="4" w:color="CB3F23"/>
                                                <w:left w:val="none" w:sz="0" w:space="0" w:color="auto"/>
                                                <w:bottom w:val="single" w:sz="6" w:space="4" w:color="CB3F23"/>
                                                <w:right w:val="none" w:sz="0" w:space="0" w:color="auto"/>
                                              </w:divBdr>
                                            </w:div>
                                            <w:div w:id="1012563269">
                                              <w:marLeft w:val="0"/>
                                              <w:marRight w:val="0"/>
                                              <w:marTop w:val="0"/>
                                              <w:marBottom w:val="0"/>
                                              <w:divBdr>
                                                <w:top w:val="single" w:sz="6" w:space="4" w:color="CB3F23"/>
                                                <w:left w:val="none" w:sz="0" w:space="0" w:color="auto"/>
                                                <w:bottom w:val="single" w:sz="6" w:space="4" w:color="CB3F23"/>
                                                <w:right w:val="none" w:sz="0" w:space="0" w:color="auto"/>
                                              </w:divBdr>
                                            </w:div>
                                            <w:div w:id="1812868212">
                                              <w:marLeft w:val="0"/>
                                              <w:marRight w:val="0"/>
                                              <w:marTop w:val="0"/>
                                              <w:marBottom w:val="0"/>
                                              <w:divBdr>
                                                <w:top w:val="single" w:sz="6" w:space="4" w:color="CB3F23"/>
                                                <w:left w:val="none" w:sz="0" w:space="0" w:color="auto"/>
                                                <w:bottom w:val="single" w:sz="6" w:space="4" w:color="CB3F23"/>
                                                <w:right w:val="none" w:sz="0" w:space="0" w:color="auto"/>
                                              </w:divBdr>
                                            </w:div>
                                            <w:div w:id="1701009438">
                                              <w:marLeft w:val="0"/>
                                              <w:marRight w:val="0"/>
                                              <w:marTop w:val="0"/>
                                              <w:marBottom w:val="0"/>
                                              <w:divBdr>
                                                <w:top w:val="single" w:sz="6" w:space="4" w:color="CB3F23"/>
                                                <w:left w:val="none" w:sz="0" w:space="0" w:color="auto"/>
                                                <w:bottom w:val="single" w:sz="6" w:space="4" w:color="CB3F23"/>
                                                <w:right w:val="none" w:sz="0" w:space="0" w:color="auto"/>
                                              </w:divBdr>
                                            </w:div>
                                            <w:div w:id="606814859">
                                              <w:marLeft w:val="0"/>
                                              <w:marRight w:val="0"/>
                                              <w:marTop w:val="0"/>
                                              <w:marBottom w:val="0"/>
                                              <w:divBdr>
                                                <w:top w:val="single" w:sz="6" w:space="4" w:color="CB3F23"/>
                                                <w:left w:val="none" w:sz="0" w:space="0" w:color="auto"/>
                                                <w:bottom w:val="single" w:sz="6" w:space="4" w:color="CB3F23"/>
                                                <w:right w:val="none" w:sz="0" w:space="0" w:color="auto"/>
                                              </w:divBdr>
                                            </w:div>
                                            <w:div w:id="1961691878">
                                              <w:marLeft w:val="0"/>
                                              <w:marRight w:val="0"/>
                                              <w:marTop w:val="0"/>
                                              <w:marBottom w:val="0"/>
                                              <w:divBdr>
                                                <w:top w:val="single" w:sz="6" w:space="4" w:color="CB3F23"/>
                                                <w:left w:val="none" w:sz="0" w:space="0" w:color="auto"/>
                                                <w:bottom w:val="single" w:sz="6" w:space="4" w:color="CB3F23"/>
                                                <w:right w:val="none" w:sz="0" w:space="0" w:color="auto"/>
                                              </w:divBdr>
                                            </w:div>
                                            <w:div w:id="599682605">
                                              <w:marLeft w:val="0"/>
                                              <w:marRight w:val="0"/>
                                              <w:marTop w:val="0"/>
                                              <w:marBottom w:val="0"/>
                                              <w:divBdr>
                                                <w:top w:val="single" w:sz="6" w:space="4" w:color="CB3F23"/>
                                                <w:left w:val="none" w:sz="0" w:space="0" w:color="auto"/>
                                                <w:bottom w:val="single" w:sz="6" w:space="4" w:color="CB3F23"/>
                                                <w:right w:val="none" w:sz="0" w:space="0" w:color="auto"/>
                                              </w:divBdr>
                                            </w:div>
                                            <w:div w:id="1753745922">
                                              <w:marLeft w:val="0"/>
                                              <w:marRight w:val="0"/>
                                              <w:marTop w:val="0"/>
                                              <w:marBottom w:val="0"/>
                                              <w:divBdr>
                                                <w:top w:val="single" w:sz="6" w:space="4" w:color="CB3F23"/>
                                                <w:left w:val="none" w:sz="0" w:space="0" w:color="auto"/>
                                                <w:bottom w:val="single" w:sz="6" w:space="4" w:color="CB3F23"/>
                                                <w:right w:val="none" w:sz="0" w:space="0" w:color="auto"/>
                                              </w:divBdr>
                                            </w:div>
                                            <w:div w:id="2105611540">
                                              <w:marLeft w:val="0"/>
                                              <w:marRight w:val="0"/>
                                              <w:marTop w:val="0"/>
                                              <w:marBottom w:val="0"/>
                                              <w:divBdr>
                                                <w:top w:val="single" w:sz="6" w:space="4" w:color="CB3F23"/>
                                                <w:left w:val="none" w:sz="0" w:space="0" w:color="auto"/>
                                                <w:bottom w:val="single" w:sz="6" w:space="4" w:color="CB3F23"/>
                                                <w:right w:val="none" w:sz="0" w:space="0" w:color="auto"/>
                                              </w:divBdr>
                                            </w:div>
                                            <w:div w:id="582254424">
                                              <w:marLeft w:val="0"/>
                                              <w:marRight w:val="0"/>
                                              <w:marTop w:val="0"/>
                                              <w:marBottom w:val="0"/>
                                              <w:divBdr>
                                                <w:top w:val="single" w:sz="6" w:space="4" w:color="CB3F23"/>
                                                <w:left w:val="none" w:sz="0" w:space="0" w:color="auto"/>
                                                <w:bottom w:val="single" w:sz="6" w:space="4" w:color="CB3F23"/>
                                                <w:right w:val="none" w:sz="0" w:space="0" w:color="auto"/>
                                              </w:divBdr>
                                            </w:div>
                                            <w:div w:id="2070299447">
                                              <w:marLeft w:val="0"/>
                                              <w:marRight w:val="0"/>
                                              <w:marTop w:val="0"/>
                                              <w:marBottom w:val="0"/>
                                              <w:divBdr>
                                                <w:top w:val="single" w:sz="6" w:space="4" w:color="CB3F23"/>
                                                <w:left w:val="none" w:sz="0" w:space="0" w:color="auto"/>
                                                <w:bottom w:val="single" w:sz="6" w:space="4" w:color="CB3F23"/>
                                                <w:right w:val="none" w:sz="0" w:space="0" w:color="auto"/>
                                              </w:divBdr>
                                            </w:div>
                                            <w:div w:id="590048572">
                                              <w:marLeft w:val="0"/>
                                              <w:marRight w:val="0"/>
                                              <w:marTop w:val="0"/>
                                              <w:marBottom w:val="0"/>
                                              <w:divBdr>
                                                <w:top w:val="single" w:sz="6" w:space="4" w:color="CB3F23"/>
                                                <w:left w:val="none" w:sz="0" w:space="0" w:color="auto"/>
                                                <w:bottom w:val="single" w:sz="6" w:space="4" w:color="CB3F23"/>
                                                <w:right w:val="none" w:sz="0" w:space="0" w:color="auto"/>
                                              </w:divBdr>
                                            </w:div>
                                            <w:div w:id="962078898">
                                              <w:marLeft w:val="0"/>
                                              <w:marRight w:val="0"/>
                                              <w:marTop w:val="0"/>
                                              <w:marBottom w:val="0"/>
                                              <w:divBdr>
                                                <w:top w:val="single" w:sz="6" w:space="4" w:color="CB3F23"/>
                                                <w:left w:val="none" w:sz="0" w:space="0" w:color="auto"/>
                                                <w:bottom w:val="single" w:sz="6" w:space="4" w:color="CB3F23"/>
                                                <w:right w:val="none" w:sz="0" w:space="0" w:color="auto"/>
                                              </w:divBdr>
                                            </w:div>
                                            <w:div w:id="1400513401">
                                              <w:marLeft w:val="0"/>
                                              <w:marRight w:val="0"/>
                                              <w:marTop w:val="0"/>
                                              <w:marBottom w:val="0"/>
                                              <w:divBdr>
                                                <w:top w:val="single" w:sz="6" w:space="4" w:color="CB3F23"/>
                                                <w:left w:val="none" w:sz="0" w:space="0" w:color="auto"/>
                                                <w:bottom w:val="single" w:sz="6" w:space="4" w:color="CB3F23"/>
                                                <w:right w:val="none" w:sz="0" w:space="0" w:color="auto"/>
                                              </w:divBdr>
                                            </w:div>
                                            <w:div w:id="1930189545">
                                              <w:marLeft w:val="0"/>
                                              <w:marRight w:val="0"/>
                                              <w:marTop w:val="0"/>
                                              <w:marBottom w:val="0"/>
                                              <w:divBdr>
                                                <w:top w:val="single" w:sz="6" w:space="4" w:color="CB3F23"/>
                                                <w:left w:val="none" w:sz="0" w:space="0" w:color="auto"/>
                                                <w:bottom w:val="single" w:sz="6" w:space="4" w:color="CB3F23"/>
                                                <w:right w:val="none" w:sz="0" w:space="0" w:color="auto"/>
                                              </w:divBdr>
                                            </w:div>
                                          </w:divsChild>
                                        </w:div>
                                      </w:divsChild>
                                    </w:div>
                                  </w:divsChild>
                                </w:div>
                              </w:divsChild>
                            </w:div>
                          </w:divsChild>
                        </w:div>
                      </w:divsChild>
                    </w:div>
                  </w:divsChild>
                </w:div>
              </w:divsChild>
            </w:div>
          </w:divsChild>
        </w:div>
      </w:divsChild>
    </w:div>
    <w:div w:id="1462839352">
      <w:bodyDiv w:val="1"/>
      <w:marLeft w:val="0"/>
      <w:marRight w:val="0"/>
      <w:marTop w:val="0"/>
      <w:marBottom w:val="0"/>
      <w:divBdr>
        <w:top w:val="none" w:sz="0" w:space="0" w:color="auto"/>
        <w:left w:val="none" w:sz="0" w:space="0" w:color="auto"/>
        <w:bottom w:val="none" w:sz="0" w:space="0" w:color="auto"/>
        <w:right w:val="none" w:sz="0" w:space="0" w:color="auto"/>
      </w:divBdr>
      <w:divsChild>
        <w:div w:id="1133329658">
          <w:marLeft w:val="0"/>
          <w:marRight w:val="0"/>
          <w:marTop w:val="0"/>
          <w:marBottom w:val="0"/>
          <w:divBdr>
            <w:top w:val="none" w:sz="0" w:space="0" w:color="auto"/>
            <w:left w:val="none" w:sz="0" w:space="0" w:color="auto"/>
            <w:bottom w:val="none" w:sz="0" w:space="0" w:color="auto"/>
            <w:right w:val="none" w:sz="0" w:space="0" w:color="auto"/>
          </w:divBdr>
          <w:divsChild>
            <w:div w:id="672494038">
              <w:marLeft w:val="0"/>
              <w:marRight w:val="0"/>
              <w:marTop w:val="0"/>
              <w:marBottom w:val="0"/>
              <w:divBdr>
                <w:top w:val="none" w:sz="0" w:space="0" w:color="auto"/>
                <w:left w:val="none" w:sz="0" w:space="0" w:color="auto"/>
                <w:bottom w:val="none" w:sz="0" w:space="0" w:color="auto"/>
                <w:right w:val="none" w:sz="0" w:space="0" w:color="auto"/>
              </w:divBdr>
              <w:divsChild>
                <w:div w:id="1025406235">
                  <w:marLeft w:val="0"/>
                  <w:marRight w:val="0"/>
                  <w:marTop w:val="0"/>
                  <w:marBottom w:val="0"/>
                  <w:divBdr>
                    <w:top w:val="none" w:sz="0" w:space="0" w:color="auto"/>
                    <w:left w:val="none" w:sz="0" w:space="0" w:color="auto"/>
                    <w:bottom w:val="none" w:sz="0" w:space="0" w:color="auto"/>
                    <w:right w:val="none" w:sz="0" w:space="0" w:color="auto"/>
                  </w:divBdr>
                  <w:divsChild>
                    <w:div w:id="1716809894">
                      <w:marLeft w:val="0"/>
                      <w:marRight w:val="0"/>
                      <w:marTop w:val="0"/>
                      <w:marBottom w:val="0"/>
                      <w:divBdr>
                        <w:top w:val="none" w:sz="0" w:space="0" w:color="auto"/>
                        <w:left w:val="none" w:sz="0" w:space="0" w:color="auto"/>
                        <w:bottom w:val="none" w:sz="0" w:space="0" w:color="auto"/>
                        <w:right w:val="none" w:sz="0" w:space="0" w:color="auto"/>
                      </w:divBdr>
                      <w:divsChild>
                        <w:div w:id="1979989509">
                          <w:marLeft w:val="0"/>
                          <w:marRight w:val="0"/>
                          <w:marTop w:val="0"/>
                          <w:marBottom w:val="0"/>
                          <w:divBdr>
                            <w:top w:val="none" w:sz="0" w:space="0" w:color="auto"/>
                            <w:left w:val="none" w:sz="0" w:space="0" w:color="auto"/>
                            <w:bottom w:val="none" w:sz="0" w:space="0" w:color="auto"/>
                            <w:right w:val="none" w:sz="0" w:space="0" w:color="auto"/>
                          </w:divBdr>
                          <w:divsChild>
                            <w:div w:id="869297273">
                              <w:marLeft w:val="0"/>
                              <w:marRight w:val="0"/>
                              <w:marTop w:val="0"/>
                              <w:marBottom w:val="0"/>
                              <w:divBdr>
                                <w:top w:val="none" w:sz="0" w:space="0" w:color="auto"/>
                                <w:left w:val="none" w:sz="0" w:space="0" w:color="auto"/>
                                <w:bottom w:val="none" w:sz="0" w:space="0" w:color="auto"/>
                                <w:right w:val="none" w:sz="0" w:space="0" w:color="auto"/>
                              </w:divBdr>
                              <w:divsChild>
                                <w:div w:id="1349794725">
                                  <w:marLeft w:val="0"/>
                                  <w:marRight w:val="0"/>
                                  <w:marTop w:val="225"/>
                                  <w:marBottom w:val="0"/>
                                  <w:divBdr>
                                    <w:top w:val="single" w:sz="2" w:space="13" w:color="C7C3BB"/>
                                    <w:left w:val="single" w:sz="2" w:space="13" w:color="C7C3BB"/>
                                    <w:bottom w:val="single" w:sz="2" w:space="13" w:color="C7C3BB"/>
                                    <w:right w:val="single" w:sz="2" w:space="13" w:color="C7C3BB"/>
                                  </w:divBdr>
                                  <w:divsChild>
                                    <w:div w:id="1160734279">
                                      <w:marLeft w:val="0"/>
                                      <w:marRight w:val="0"/>
                                      <w:marTop w:val="0"/>
                                      <w:marBottom w:val="0"/>
                                      <w:divBdr>
                                        <w:top w:val="none" w:sz="0" w:space="0" w:color="auto"/>
                                        <w:left w:val="none" w:sz="0" w:space="0" w:color="auto"/>
                                        <w:bottom w:val="none" w:sz="0" w:space="0" w:color="auto"/>
                                        <w:right w:val="none" w:sz="0" w:space="0" w:color="auto"/>
                                      </w:divBdr>
                                      <w:divsChild>
                                        <w:div w:id="356274777">
                                          <w:marLeft w:val="0"/>
                                          <w:marRight w:val="0"/>
                                          <w:marTop w:val="0"/>
                                          <w:marBottom w:val="0"/>
                                          <w:divBdr>
                                            <w:top w:val="none" w:sz="0" w:space="0" w:color="auto"/>
                                            <w:left w:val="none" w:sz="0" w:space="0" w:color="auto"/>
                                            <w:bottom w:val="none" w:sz="0" w:space="0" w:color="auto"/>
                                            <w:right w:val="none" w:sz="0" w:space="0" w:color="auto"/>
                                          </w:divBdr>
                                          <w:divsChild>
                                            <w:div w:id="110714172">
                                              <w:marLeft w:val="0"/>
                                              <w:marRight w:val="0"/>
                                              <w:marTop w:val="0"/>
                                              <w:marBottom w:val="0"/>
                                              <w:divBdr>
                                                <w:top w:val="single" w:sz="6" w:space="4" w:color="CB3F23"/>
                                                <w:left w:val="none" w:sz="0" w:space="0" w:color="auto"/>
                                                <w:bottom w:val="single" w:sz="6" w:space="4" w:color="CB3F23"/>
                                                <w:right w:val="none" w:sz="0" w:space="0" w:color="auto"/>
                                              </w:divBdr>
                                            </w:div>
                                            <w:div w:id="1913194617">
                                              <w:marLeft w:val="0"/>
                                              <w:marRight w:val="0"/>
                                              <w:marTop w:val="0"/>
                                              <w:marBottom w:val="0"/>
                                              <w:divBdr>
                                                <w:top w:val="single" w:sz="6" w:space="4" w:color="CB3F23"/>
                                                <w:left w:val="none" w:sz="0" w:space="0" w:color="auto"/>
                                                <w:bottom w:val="single" w:sz="6" w:space="4" w:color="CB3F23"/>
                                                <w:right w:val="none" w:sz="0" w:space="0" w:color="auto"/>
                                              </w:divBdr>
                                            </w:div>
                                          </w:divsChild>
                                        </w:div>
                                      </w:divsChild>
                                    </w:div>
                                  </w:divsChild>
                                </w:div>
                              </w:divsChild>
                            </w:div>
                          </w:divsChild>
                        </w:div>
                      </w:divsChild>
                    </w:div>
                  </w:divsChild>
                </w:div>
              </w:divsChild>
            </w:div>
          </w:divsChild>
        </w:div>
      </w:divsChild>
    </w:div>
    <w:div w:id="1495728596">
      <w:bodyDiv w:val="1"/>
      <w:marLeft w:val="0"/>
      <w:marRight w:val="0"/>
      <w:marTop w:val="0"/>
      <w:marBottom w:val="0"/>
      <w:divBdr>
        <w:top w:val="none" w:sz="0" w:space="0" w:color="auto"/>
        <w:left w:val="none" w:sz="0" w:space="0" w:color="auto"/>
        <w:bottom w:val="none" w:sz="0" w:space="0" w:color="auto"/>
        <w:right w:val="none" w:sz="0" w:space="0" w:color="auto"/>
      </w:divBdr>
      <w:divsChild>
        <w:div w:id="463813592">
          <w:marLeft w:val="0"/>
          <w:marRight w:val="0"/>
          <w:marTop w:val="0"/>
          <w:marBottom w:val="0"/>
          <w:divBdr>
            <w:top w:val="none" w:sz="0" w:space="0" w:color="auto"/>
            <w:left w:val="none" w:sz="0" w:space="0" w:color="auto"/>
            <w:bottom w:val="none" w:sz="0" w:space="0" w:color="auto"/>
            <w:right w:val="none" w:sz="0" w:space="0" w:color="auto"/>
          </w:divBdr>
          <w:divsChild>
            <w:div w:id="1921527168">
              <w:marLeft w:val="0"/>
              <w:marRight w:val="0"/>
              <w:marTop w:val="0"/>
              <w:marBottom w:val="0"/>
              <w:divBdr>
                <w:top w:val="none" w:sz="0" w:space="0" w:color="auto"/>
                <w:left w:val="none" w:sz="0" w:space="0" w:color="auto"/>
                <w:bottom w:val="none" w:sz="0" w:space="0" w:color="auto"/>
                <w:right w:val="none" w:sz="0" w:space="0" w:color="auto"/>
              </w:divBdr>
              <w:divsChild>
                <w:div w:id="196430669">
                  <w:marLeft w:val="0"/>
                  <w:marRight w:val="0"/>
                  <w:marTop w:val="0"/>
                  <w:marBottom w:val="0"/>
                  <w:divBdr>
                    <w:top w:val="none" w:sz="0" w:space="0" w:color="auto"/>
                    <w:left w:val="none" w:sz="0" w:space="0" w:color="auto"/>
                    <w:bottom w:val="none" w:sz="0" w:space="0" w:color="auto"/>
                    <w:right w:val="none" w:sz="0" w:space="0" w:color="auto"/>
                  </w:divBdr>
                  <w:divsChild>
                    <w:div w:id="914709150">
                      <w:marLeft w:val="0"/>
                      <w:marRight w:val="0"/>
                      <w:marTop w:val="0"/>
                      <w:marBottom w:val="0"/>
                      <w:divBdr>
                        <w:top w:val="none" w:sz="0" w:space="0" w:color="auto"/>
                        <w:left w:val="none" w:sz="0" w:space="0" w:color="auto"/>
                        <w:bottom w:val="none" w:sz="0" w:space="0" w:color="auto"/>
                        <w:right w:val="none" w:sz="0" w:space="0" w:color="auto"/>
                      </w:divBdr>
                      <w:divsChild>
                        <w:div w:id="1291976719">
                          <w:marLeft w:val="0"/>
                          <w:marRight w:val="0"/>
                          <w:marTop w:val="0"/>
                          <w:marBottom w:val="0"/>
                          <w:divBdr>
                            <w:top w:val="none" w:sz="0" w:space="0" w:color="auto"/>
                            <w:left w:val="none" w:sz="0" w:space="0" w:color="auto"/>
                            <w:bottom w:val="none" w:sz="0" w:space="0" w:color="auto"/>
                            <w:right w:val="none" w:sz="0" w:space="0" w:color="auto"/>
                          </w:divBdr>
                          <w:divsChild>
                            <w:div w:id="126901053">
                              <w:marLeft w:val="0"/>
                              <w:marRight w:val="0"/>
                              <w:marTop w:val="0"/>
                              <w:marBottom w:val="0"/>
                              <w:divBdr>
                                <w:top w:val="none" w:sz="0" w:space="0" w:color="auto"/>
                                <w:left w:val="none" w:sz="0" w:space="0" w:color="auto"/>
                                <w:bottom w:val="none" w:sz="0" w:space="0" w:color="auto"/>
                                <w:right w:val="none" w:sz="0" w:space="0" w:color="auto"/>
                              </w:divBdr>
                              <w:divsChild>
                                <w:div w:id="628701889">
                                  <w:marLeft w:val="0"/>
                                  <w:marRight w:val="0"/>
                                  <w:marTop w:val="225"/>
                                  <w:marBottom w:val="0"/>
                                  <w:divBdr>
                                    <w:top w:val="single" w:sz="2" w:space="13" w:color="C7C3BB"/>
                                    <w:left w:val="single" w:sz="2" w:space="13" w:color="C7C3BB"/>
                                    <w:bottom w:val="single" w:sz="2" w:space="13" w:color="C7C3BB"/>
                                    <w:right w:val="single" w:sz="2" w:space="13" w:color="C7C3BB"/>
                                  </w:divBdr>
                                  <w:divsChild>
                                    <w:div w:id="598294527">
                                      <w:marLeft w:val="0"/>
                                      <w:marRight w:val="0"/>
                                      <w:marTop w:val="0"/>
                                      <w:marBottom w:val="0"/>
                                      <w:divBdr>
                                        <w:top w:val="none" w:sz="0" w:space="0" w:color="auto"/>
                                        <w:left w:val="none" w:sz="0" w:space="0" w:color="auto"/>
                                        <w:bottom w:val="none" w:sz="0" w:space="0" w:color="auto"/>
                                        <w:right w:val="none" w:sz="0" w:space="0" w:color="auto"/>
                                      </w:divBdr>
                                      <w:divsChild>
                                        <w:div w:id="446123801">
                                          <w:marLeft w:val="0"/>
                                          <w:marRight w:val="0"/>
                                          <w:marTop w:val="0"/>
                                          <w:marBottom w:val="0"/>
                                          <w:divBdr>
                                            <w:top w:val="none" w:sz="0" w:space="0" w:color="auto"/>
                                            <w:left w:val="none" w:sz="0" w:space="0" w:color="auto"/>
                                            <w:bottom w:val="none" w:sz="0" w:space="0" w:color="auto"/>
                                            <w:right w:val="none" w:sz="0" w:space="0" w:color="auto"/>
                                          </w:divBdr>
                                          <w:divsChild>
                                            <w:div w:id="2017658311">
                                              <w:marLeft w:val="0"/>
                                              <w:marRight w:val="0"/>
                                              <w:marTop w:val="0"/>
                                              <w:marBottom w:val="0"/>
                                              <w:divBdr>
                                                <w:top w:val="single" w:sz="6" w:space="4" w:color="CB3F23"/>
                                                <w:left w:val="none" w:sz="0" w:space="0" w:color="auto"/>
                                                <w:bottom w:val="single" w:sz="6" w:space="4" w:color="CB3F23"/>
                                                <w:right w:val="none" w:sz="0" w:space="0" w:color="auto"/>
                                              </w:divBdr>
                                            </w:div>
                                            <w:div w:id="552500777">
                                              <w:marLeft w:val="0"/>
                                              <w:marRight w:val="0"/>
                                              <w:marTop w:val="0"/>
                                              <w:marBottom w:val="0"/>
                                              <w:divBdr>
                                                <w:top w:val="single" w:sz="6" w:space="4" w:color="CB3F23"/>
                                                <w:left w:val="none" w:sz="0" w:space="0" w:color="auto"/>
                                                <w:bottom w:val="single" w:sz="6" w:space="4" w:color="CB3F23"/>
                                                <w:right w:val="none" w:sz="0" w:space="0" w:color="auto"/>
                                              </w:divBdr>
                                            </w:div>
                                          </w:divsChild>
                                        </w:div>
                                      </w:divsChild>
                                    </w:div>
                                  </w:divsChild>
                                </w:div>
                              </w:divsChild>
                            </w:div>
                          </w:divsChild>
                        </w:div>
                      </w:divsChild>
                    </w:div>
                  </w:divsChild>
                </w:div>
              </w:divsChild>
            </w:div>
          </w:divsChild>
        </w:div>
      </w:divsChild>
    </w:div>
    <w:div w:id="1751270356">
      <w:bodyDiv w:val="1"/>
      <w:marLeft w:val="0"/>
      <w:marRight w:val="0"/>
      <w:marTop w:val="0"/>
      <w:marBottom w:val="0"/>
      <w:divBdr>
        <w:top w:val="none" w:sz="0" w:space="0" w:color="auto"/>
        <w:left w:val="none" w:sz="0" w:space="0" w:color="auto"/>
        <w:bottom w:val="none" w:sz="0" w:space="0" w:color="auto"/>
        <w:right w:val="none" w:sz="0" w:space="0" w:color="auto"/>
      </w:divBdr>
      <w:divsChild>
        <w:div w:id="1323852956">
          <w:marLeft w:val="0"/>
          <w:marRight w:val="0"/>
          <w:marTop w:val="0"/>
          <w:marBottom w:val="0"/>
          <w:divBdr>
            <w:top w:val="none" w:sz="0" w:space="0" w:color="auto"/>
            <w:left w:val="none" w:sz="0" w:space="0" w:color="auto"/>
            <w:bottom w:val="none" w:sz="0" w:space="0" w:color="auto"/>
            <w:right w:val="none" w:sz="0" w:space="0" w:color="auto"/>
          </w:divBdr>
          <w:divsChild>
            <w:div w:id="925528721">
              <w:marLeft w:val="0"/>
              <w:marRight w:val="0"/>
              <w:marTop w:val="0"/>
              <w:marBottom w:val="0"/>
              <w:divBdr>
                <w:top w:val="none" w:sz="0" w:space="0" w:color="auto"/>
                <w:left w:val="none" w:sz="0" w:space="0" w:color="auto"/>
                <w:bottom w:val="none" w:sz="0" w:space="0" w:color="auto"/>
                <w:right w:val="none" w:sz="0" w:space="0" w:color="auto"/>
              </w:divBdr>
              <w:divsChild>
                <w:div w:id="628054164">
                  <w:marLeft w:val="0"/>
                  <w:marRight w:val="0"/>
                  <w:marTop w:val="0"/>
                  <w:marBottom w:val="0"/>
                  <w:divBdr>
                    <w:top w:val="none" w:sz="0" w:space="0" w:color="auto"/>
                    <w:left w:val="none" w:sz="0" w:space="0" w:color="auto"/>
                    <w:bottom w:val="none" w:sz="0" w:space="0" w:color="auto"/>
                    <w:right w:val="none" w:sz="0" w:space="0" w:color="auto"/>
                  </w:divBdr>
                  <w:divsChild>
                    <w:div w:id="1063452706">
                      <w:marLeft w:val="0"/>
                      <w:marRight w:val="0"/>
                      <w:marTop w:val="0"/>
                      <w:marBottom w:val="0"/>
                      <w:divBdr>
                        <w:top w:val="none" w:sz="0" w:space="0" w:color="auto"/>
                        <w:left w:val="none" w:sz="0" w:space="0" w:color="auto"/>
                        <w:bottom w:val="none" w:sz="0" w:space="0" w:color="auto"/>
                        <w:right w:val="none" w:sz="0" w:space="0" w:color="auto"/>
                      </w:divBdr>
                      <w:divsChild>
                        <w:div w:id="118694776">
                          <w:marLeft w:val="0"/>
                          <w:marRight w:val="0"/>
                          <w:marTop w:val="0"/>
                          <w:marBottom w:val="0"/>
                          <w:divBdr>
                            <w:top w:val="none" w:sz="0" w:space="0" w:color="auto"/>
                            <w:left w:val="none" w:sz="0" w:space="0" w:color="auto"/>
                            <w:bottom w:val="none" w:sz="0" w:space="0" w:color="auto"/>
                            <w:right w:val="none" w:sz="0" w:space="0" w:color="auto"/>
                          </w:divBdr>
                          <w:divsChild>
                            <w:div w:id="1556774654">
                              <w:marLeft w:val="0"/>
                              <w:marRight w:val="0"/>
                              <w:marTop w:val="0"/>
                              <w:marBottom w:val="0"/>
                              <w:divBdr>
                                <w:top w:val="none" w:sz="0" w:space="0" w:color="auto"/>
                                <w:left w:val="none" w:sz="0" w:space="0" w:color="auto"/>
                                <w:bottom w:val="none" w:sz="0" w:space="0" w:color="auto"/>
                                <w:right w:val="none" w:sz="0" w:space="0" w:color="auto"/>
                              </w:divBdr>
                              <w:divsChild>
                                <w:div w:id="1246501075">
                                  <w:marLeft w:val="0"/>
                                  <w:marRight w:val="0"/>
                                  <w:marTop w:val="225"/>
                                  <w:marBottom w:val="0"/>
                                  <w:divBdr>
                                    <w:top w:val="single" w:sz="2" w:space="13" w:color="C7C3BB"/>
                                    <w:left w:val="single" w:sz="2" w:space="13" w:color="C7C3BB"/>
                                    <w:bottom w:val="single" w:sz="2" w:space="13" w:color="C7C3BB"/>
                                    <w:right w:val="single" w:sz="2" w:space="13" w:color="C7C3BB"/>
                                  </w:divBdr>
                                  <w:divsChild>
                                    <w:div w:id="320931268">
                                      <w:marLeft w:val="0"/>
                                      <w:marRight w:val="0"/>
                                      <w:marTop w:val="0"/>
                                      <w:marBottom w:val="0"/>
                                      <w:divBdr>
                                        <w:top w:val="none" w:sz="0" w:space="0" w:color="auto"/>
                                        <w:left w:val="none" w:sz="0" w:space="0" w:color="auto"/>
                                        <w:bottom w:val="none" w:sz="0" w:space="0" w:color="auto"/>
                                        <w:right w:val="none" w:sz="0" w:space="0" w:color="auto"/>
                                      </w:divBdr>
                                      <w:divsChild>
                                        <w:div w:id="1449471640">
                                          <w:marLeft w:val="0"/>
                                          <w:marRight w:val="0"/>
                                          <w:marTop w:val="0"/>
                                          <w:marBottom w:val="0"/>
                                          <w:divBdr>
                                            <w:top w:val="none" w:sz="0" w:space="0" w:color="auto"/>
                                            <w:left w:val="none" w:sz="0" w:space="0" w:color="auto"/>
                                            <w:bottom w:val="none" w:sz="0" w:space="0" w:color="auto"/>
                                            <w:right w:val="none" w:sz="0" w:space="0" w:color="auto"/>
                                          </w:divBdr>
                                          <w:divsChild>
                                            <w:div w:id="333651974">
                                              <w:marLeft w:val="0"/>
                                              <w:marRight w:val="0"/>
                                              <w:marTop w:val="0"/>
                                              <w:marBottom w:val="0"/>
                                              <w:divBdr>
                                                <w:top w:val="single" w:sz="6" w:space="4" w:color="CB3F23"/>
                                                <w:left w:val="none" w:sz="0" w:space="0" w:color="auto"/>
                                                <w:bottom w:val="single" w:sz="6" w:space="4" w:color="CB3F23"/>
                                                <w:right w:val="none" w:sz="0" w:space="0" w:color="auto"/>
                                              </w:divBdr>
                                            </w:div>
                                            <w:div w:id="627979536">
                                              <w:marLeft w:val="0"/>
                                              <w:marRight w:val="0"/>
                                              <w:marTop w:val="0"/>
                                              <w:marBottom w:val="0"/>
                                              <w:divBdr>
                                                <w:top w:val="single" w:sz="6" w:space="4" w:color="CB3F23"/>
                                                <w:left w:val="none" w:sz="0" w:space="0" w:color="auto"/>
                                                <w:bottom w:val="single" w:sz="6" w:space="4" w:color="CB3F23"/>
                                                <w:right w:val="none" w:sz="0" w:space="0" w:color="auto"/>
                                              </w:divBdr>
                                            </w:div>
                                          </w:divsChild>
                                        </w:div>
                                      </w:divsChild>
                                    </w:div>
                                  </w:divsChild>
                                </w:div>
                              </w:divsChild>
                            </w:div>
                          </w:divsChild>
                        </w:div>
                      </w:divsChild>
                    </w:div>
                  </w:divsChild>
                </w:div>
              </w:divsChild>
            </w:div>
          </w:divsChild>
        </w:div>
      </w:divsChild>
    </w:div>
    <w:div w:id="1888838434">
      <w:bodyDiv w:val="1"/>
      <w:marLeft w:val="0"/>
      <w:marRight w:val="0"/>
      <w:marTop w:val="0"/>
      <w:marBottom w:val="0"/>
      <w:divBdr>
        <w:top w:val="none" w:sz="0" w:space="0" w:color="auto"/>
        <w:left w:val="none" w:sz="0" w:space="0" w:color="auto"/>
        <w:bottom w:val="none" w:sz="0" w:space="0" w:color="auto"/>
        <w:right w:val="none" w:sz="0" w:space="0" w:color="auto"/>
      </w:divBdr>
      <w:divsChild>
        <w:div w:id="650715888">
          <w:marLeft w:val="0"/>
          <w:marRight w:val="0"/>
          <w:marTop w:val="0"/>
          <w:marBottom w:val="0"/>
          <w:divBdr>
            <w:top w:val="none" w:sz="0" w:space="0" w:color="auto"/>
            <w:left w:val="none" w:sz="0" w:space="0" w:color="auto"/>
            <w:bottom w:val="none" w:sz="0" w:space="0" w:color="auto"/>
            <w:right w:val="none" w:sz="0" w:space="0" w:color="auto"/>
          </w:divBdr>
          <w:divsChild>
            <w:div w:id="1174145786">
              <w:marLeft w:val="0"/>
              <w:marRight w:val="0"/>
              <w:marTop w:val="0"/>
              <w:marBottom w:val="0"/>
              <w:divBdr>
                <w:top w:val="none" w:sz="0" w:space="0" w:color="auto"/>
                <w:left w:val="none" w:sz="0" w:space="0" w:color="auto"/>
                <w:bottom w:val="none" w:sz="0" w:space="0" w:color="auto"/>
                <w:right w:val="none" w:sz="0" w:space="0" w:color="auto"/>
              </w:divBdr>
              <w:divsChild>
                <w:div w:id="552235194">
                  <w:marLeft w:val="0"/>
                  <w:marRight w:val="0"/>
                  <w:marTop w:val="0"/>
                  <w:marBottom w:val="0"/>
                  <w:divBdr>
                    <w:top w:val="none" w:sz="0" w:space="0" w:color="auto"/>
                    <w:left w:val="none" w:sz="0" w:space="0" w:color="auto"/>
                    <w:bottom w:val="none" w:sz="0" w:space="0" w:color="auto"/>
                    <w:right w:val="none" w:sz="0" w:space="0" w:color="auto"/>
                  </w:divBdr>
                  <w:divsChild>
                    <w:div w:id="39091453">
                      <w:marLeft w:val="0"/>
                      <w:marRight w:val="0"/>
                      <w:marTop w:val="0"/>
                      <w:marBottom w:val="0"/>
                      <w:divBdr>
                        <w:top w:val="none" w:sz="0" w:space="0" w:color="auto"/>
                        <w:left w:val="none" w:sz="0" w:space="0" w:color="auto"/>
                        <w:bottom w:val="none" w:sz="0" w:space="0" w:color="auto"/>
                        <w:right w:val="none" w:sz="0" w:space="0" w:color="auto"/>
                      </w:divBdr>
                      <w:divsChild>
                        <w:div w:id="692851857">
                          <w:marLeft w:val="0"/>
                          <w:marRight w:val="0"/>
                          <w:marTop w:val="0"/>
                          <w:marBottom w:val="0"/>
                          <w:divBdr>
                            <w:top w:val="none" w:sz="0" w:space="0" w:color="auto"/>
                            <w:left w:val="none" w:sz="0" w:space="0" w:color="auto"/>
                            <w:bottom w:val="none" w:sz="0" w:space="0" w:color="auto"/>
                            <w:right w:val="none" w:sz="0" w:space="0" w:color="auto"/>
                          </w:divBdr>
                          <w:divsChild>
                            <w:div w:id="1242521851">
                              <w:marLeft w:val="0"/>
                              <w:marRight w:val="0"/>
                              <w:marTop w:val="0"/>
                              <w:marBottom w:val="0"/>
                              <w:divBdr>
                                <w:top w:val="none" w:sz="0" w:space="0" w:color="auto"/>
                                <w:left w:val="none" w:sz="0" w:space="0" w:color="auto"/>
                                <w:bottom w:val="none" w:sz="0" w:space="0" w:color="auto"/>
                                <w:right w:val="none" w:sz="0" w:space="0" w:color="auto"/>
                              </w:divBdr>
                              <w:divsChild>
                                <w:div w:id="893926546">
                                  <w:marLeft w:val="0"/>
                                  <w:marRight w:val="0"/>
                                  <w:marTop w:val="225"/>
                                  <w:marBottom w:val="0"/>
                                  <w:divBdr>
                                    <w:top w:val="single" w:sz="2" w:space="13" w:color="C7C3BB"/>
                                    <w:left w:val="single" w:sz="2" w:space="13" w:color="C7C3BB"/>
                                    <w:bottom w:val="single" w:sz="2" w:space="13" w:color="C7C3BB"/>
                                    <w:right w:val="single" w:sz="2" w:space="13" w:color="C7C3BB"/>
                                  </w:divBdr>
                                  <w:divsChild>
                                    <w:div w:id="1371028085">
                                      <w:marLeft w:val="0"/>
                                      <w:marRight w:val="0"/>
                                      <w:marTop w:val="0"/>
                                      <w:marBottom w:val="0"/>
                                      <w:divBdr>
                                        <w:top w:val="none" w:sz="0" w:space="0" w:color="auto"/>
                                        <w:left w:val="none" w:sz="0" w:space="0" w:color="auto"/>
                                        <w:bottom w:val="none" w:sz="0" w:space="0" w:color="auto"/>
                                        <w:right w:val="none" w:sz="0" w:space="0" w:color="auto"/>
                                      </w:divBdr>
                                      <w:divsChild>
                                        <w:div w:id="873813864">
                                          <w:marLeft w:val="0"/>
                                          <w:marRight w:val="0"/>
                                          <w:marTop w:val="0"/>
                                          <w:marBottom w:val="0"/>
                                          <w:divBdr>
                                            <w:top w:val="none" w:sz="0" w:space="0" w:color="auto"/>
                                            <w:left w:val="none" w:sz="0" w:space="0" w:color="auto"/>
                                            <w:bottom w:val="none" w:sz="0" w:space="0" w:color="auto"/>
                                            <w:right w:val="none" w:sz="0" w:space="0" w:color="auto"/>
                                          </w:divBdr>
                                          <w:divsChild>
                                            <w:div w:id="826674915">
                                              <w:marLeft w:val="0"/>
                                              <w:marRight w:val="0"/>
                                              <w:marTop w:val="0"/>
                                              <w:marBottom w:val="0"/>
                                              <w:divBdr>
                                                <w:top w:val="single" w:sz="6" w:space="4" w:color="CB3F23"/>
                                                <w:left w:val="none" w:sz="0" w:space="0" w:color="auto"/>
                                                <w:bottom w:val="single" w:sz="6" w:space="4" w:color="CB3F23"/>
                                                <w:right w:val="none" w:sz="0" w:space="0" w:color="auto"/>
                                              </w:divBdr>
                                            </w:div>
                                            <w:div w:id="622419252">
                                              <w:marLeft w:val="0"/>
                                              <w:marRight w:val="0"/>
                                              <w:marTop w:val="0"/>
                                              <w:marBottom w:val="0"/>
                                              <w:divBdr>
                                                <w:top w:val="single" w:sz="6" w:space="4" w:color="CB3F23"/>
                                                <w:left w:val="none" w:sz="0" w:space="0" w:color="auto"/>
                                                <w:bottom w:val="single" w:sz="6" w:space="4" w:color="CB3F23"/>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3DBB3-9EF6-4DA5-8FE3-2833768C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5512</Words>
  <Characters>33630</Characters>
  <Application>Microsoft Office Word</Application>
  <DocSecurity>0</DocSecurity>
  <Lines>280</Lines>
  <Paragraphs>78</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39064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Freudendahl</dc:creator>
  <cp:lastModifiedBy>Allan Gyldendal Frederiksen</cp:lastModifiedBy>
  <cp:revision>3</cp:revision>
  <cp:lastPrinted>2017-04-20T14:05:00Z</cp:lastPrinted>
  <dcterms:created xsi:type="dcterms:W3CDTF">2017-08-16T11:54:00Z</dcterms:created>
  <dcterms:modified xsi:type="dcterms:W3CDTF">2017-08-16T11:55:00Z</dcterms:modified>
</cp:coreProperties>
</file>